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ATAS/383/2011 vom 18. April 2011</w:t>
      </w:r>
    </w:p>
    <w:p>
      <w:r>
        <w:t>GE Cour de justice, 2011-04-18, FR</w:t>
      </w:r>
    </w:p>
    <w:p>
      <w:r>
        <w:rPr>
          <w:b/>
        </w:rPr>
        <w:t xml:space="preserve">Quelle: </w:t>
      </w:r>
      <w:r>
        <w:t>https://mcp.opencaselaw.ch/entscheid/ge_gerichte_ATAS_383_2011</w:t>
      </w:r>
    </w:p>
    <w:p>
      <w:r>
        <w:t>FR: GE_GERICHTE ATAS/383/2011 du 18 avril 2011</w:t>
      </w:r>
    </w:p>
    <w:p>
      <w:r>
        <w:t>IT: GE_GERICHTE ATAS/383/2011 del 18 aprile 2011</w:t>
      </w:r>
    </w:p>
    <w:p>
      <w:pPr>
        <w:pStyle w:val="Heading2"/>
      </w:pPr>
      <w:r>
        <w:t>Erwägungen</w:t>
      </w:r>
    </w:p>
    <w:p>
      <w:r>
        <w:rPr>
          <w:b/>
        </w:rPr>
        <w:t>E. 1</w:t>
      </w:r>
    </w:p>
    <w:p>
      <w:r>
        <w:t>a)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 suite à l'incapacité de travail totale du recourant depuis le 1er juillet 2008.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w:t>
      </w:r>
    </w:p>
    <w:p>
      <w:r>
        <w:rPr>
          <w:b/>
        </w:rPr>
        <w:t>E. 2</w:t>
      </w:r>
    </w:p>
    <w:p>
      <w:r>
        <w:t>a) L'art. 69 al. 1 LAI prévoit que les décisions des offices AI cantonaux peuvent faire directement l'objet d'un recours devant le tribunal des assurances du canton de l'office qui a rendu la décision. b) En l'espèce, l'OCAI a communiqué à l'assuré un projet de décision en date du</w:t>
      </w:r>
    </w:p>
    <w:p>
      <w:r>
        <w:rPr>
          <w:b/>
        </w:rPr>
        <w:t>E. 3</w:t>
      </w:r>
    </w:p>
    <w:p>
      <w:r>
        <w:t>Est réputée incapacité de travail toute perte, totale ou partielle, de l’aptitude de l’assuré à accomplir dans sa profession ou son domaine d’activité le travail qui peut raisonnablement être exigé de lui, si cette perte résulte d’une atteinte à sa santé</w:t>
      </w:r>
    </w:p>
    <w:p>
      <w:r>
        <w:t>A/3595/2010 - 8/13 -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4</w:t>
      </w:r>
    </w:p>
    <w:p>
      <w:r>
        <w:t>a) Selon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 La rente est échelonnée selon le taux d’invalidité (al. 2) : 40 % au moins donne droit à un quart de rente; 50 % au moins à une demie rente; 60 % au moins à un trois quarts de rente et 70 % au moins à une rente entière. b)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c)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rPr>
          <w:b/>
        </w:rPr>
        <w:t>E. 5</w:t>
      </w:r>
    </w:p>
    <w:p>
      <w:r>
        <w:t>Selon l'art. 28 al. 2 LAI en corrélation avec les art. 7 et 16 LPGA, la réadaptation a la priorité sur la rente dont l'octroi n'entre en ligne de compte que si une réadaptation suffisante est impossible. Saisie d'une demande de rente ou appelée à</w:t>
      </w:r>
    </w:p>
    <w:p>
      <w:r>
        <w:t>A/3595/2010 - 9/13 - se prononcer à l'occasion d'une révision de celle-ci, l'administration doit donc examiner d'office, avant toute chose, la question de la réintégration de l'assuré dans le circuit économique (ATF 108 V 210, 99 V 48). A cet égard,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(art. 8 al. 1 LAI). Celles-ci comprennent en particulier des mesures d'ordre professionnel (orientation professionnelle, formation professionnelle initiale, reclassement professionnel, service de placement) (art. 8 al. 3 let. b LAI). Le droit à une mesure de réadaptation déterminée de l'assurance- 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oeuvre une mesure ou y mettre fin (arrêt I 370/98 du 26 août 1999, publié in VSI 2002 p. 111). En règle générale, l'assuré n'a droit qu'aux mesures nécessaires, propres à atteindre le but de réadaptation visé, mais non pas à celles qui seraient les meilleures dans son cas (ATF 124 V 110 consid. 2a et les références). Si les préférences de l'intéressé quant au choix du genre de reclassement doivent être prises en considération, elles ne sauraient jouer un rôle déterminant (arrêt I 397/87 du 15 janvier 1988, consid. 1 et la référence, publié in RCC 1988 p. 265; ATFA du 13 juin 2007; cause I 552/2006). En particulier, le seuil minimum fixé par la jurisprudence pour ouvrir droit à une mesure de reclassement est une diminution de la capacité de gain de 20 % environ (ATF 124 V 110).</w:t>
      </w:r>
    </w:p>
    <w:p>
      <w:r>
        <w:rPr>
          <w:b/>
        </w:rPr>
        <w:t>E. 6</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w:t>
      </w:r>
    </w:p>
    <w:p>
      <w:r>
        <w:t>A/3595/2010 - 10/13 -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w:t>
      </w:r>
    </w:p>
    <w:p>
      <w:r>
        <w:t>A/3595/2010 - 11/13 -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7</w:t>
      </w:r>
    </w:p>
    <w:p>
      <w:r>
        <w:t>En l'espèce, la Cour de céans constate que la situation médicale du recourant n'est pas claire. D'une part, le Dr L_________ a attesté d'une tendinopathie calcifiée du sus-épineux de l'épaule gauche et capsulite rétractile justifiant une incapacité de travail depuis l'automne 2008 (avis des 21 avril et 2 septembre 2009) et n'autorisant pas une reprise de l'activité de polisseur en bijouterie (avis des 1er mars, 8 novembre et 8 décembre 2010), les Drs W_________ et A_________ ont constaté une capsulite rétractile (avis du 7 octobre 2010), le Dr S_________ a relevé que l'activité de polisseur n'était pas possible, que des travaux de classement à temps partiel étaient uniquement envisageables (avis du 18 janvier 2011) et le Dr P_________ de la détection précoce a relevé que l'atteinte était incompatible avec la profession de l'assuré (avis du 2 juillet 2009). D'autre part, le SMR a estimé, sans examiner l'assuré, que l'activité habituelle était exigible à 100 % ainsi que toute activité légère, sans port de charge ou de travail avec le membre supérieur gauche éloigné du corps ou au dessus du plan des épaules (avis des 25 novembre 2009, 9 novembre 2010 et 14 février 2011).</w:t>
      </w:r>
    </w:p>
    <w:p>
      <w:r>
        <w:rPr>
          <w:b/>
        </w:rPr>
        <w:t>E. 8</w:t>
      </w:r>
    </w:p>
    <w:p>
      <w:r>
        <w:t>Au vu de ces avis médicaux divergeants, il convient d'ordonner une expertise rhumatologique judiciaire, laquelle sera confiée à la Dresse V_________, FMH spécialiste en rhumatologie, à Genève.</w:t>
      </w:r>
    </w:p>
    <w:p>
      <w:r>
        <w:t>A/3595/2010 - 12/13 - PAR CES MOTIFS, LA CHAMBRE DES ASSURANCES SOCIALES : Statuant A la forme : 1. Déclare le recours recevable ; Préparatoirement : 2. Ordonne une expertise médicale. La confie à la Dresse V_________. Dit que la mission d’expertise sera la suivante : a. Prendre connaissance du dossier de la cause. b. Si nécessaire prendre tous renseignements auprès des médecins ayant traité M. F__________. c. Examiner M. F__________. d. Etablir un rapport détaillé et répondre aux questions suivantes: e. Quelle est l’anamnèse détaillée du cas ? f. Quelles sont les plaintes de M. F__________ ? g. Quelle est l’atteinte à la santé dont souffre M. F__________ (diagnostics avec et sans répercussion sur la capacité de travail, dates d'apparition) ? h. Quel est le status détaillé et l'évolution du status depuis le début de l'atteinte ? i. M. F__________ suit-il un traitement adéquat ? j. Quelles sont les limitations fonctionnelles ? k. Compte tenu de vos diagnostics, l’assuré pourrait-il exercer une activité lucrative ? Si non, pourquoi ? Si oui, laquelle ? A quel taux ? Depuis quelle date ? Quel est votre pronostic quant à l’exigibilité de la reprise d’une activité lucrative ? En particulier l'ancienne activité de polisseur est-elle exigible ? Si non, une activité adaptée est-elle possible ? En particulier une activité de rhodiage, de contrôle ou de nettoyage des pièces de bijouterie est-elle adaptée ? Si oui, depuis quelle date ? Si non ou dans une mesure restreinte, pour quels motifs ? Quelles sont les limitations fonctionnelles qui entrent en ligne de compte ?</w:t>
      </w:r>
    </w:p>
    <w:p>
      <w:r>
        <w:t>A/3595/2010 - 13/13 - l. Etes-vous d'accord avec les avis du SMR des 25 novembre 2009, 9 novembre 2010 et 14 février 2011 ? En particulier avec les limitations fonctionnelles constatées et l'estimation d'une capacité de travail à 100 % dans l'ancienne activité de polisseur et dans toute activité adaptée ? Si non, pourquoi ? m. Quel est le pronostic ? n. Au vu du dossier, votre réponse aux questions susmentionnées aurait-elle été identique à la date de la décision rendue par l’Office cantonal de l’assurance- invalidité, soit le 24 septembre 2010 ? Si non, pourquoi et quelles sont les réponses qui varient ? Si oui, pourquoi ? o. Des mesures de réadaptation professionnelle sont-elles envisageables ? p. Faire toutes autres observations ou suggestions utiles. 3. Réserve le sort des frais jusqu’à droit jugé au fond.</w:t>
      </w:r>
    </w:p>
    <w:p>
      <w:r>
        <w:t>La greffière</w:t>
      </w:r>
    </w:p>
    <w:p>
      <w:r>
        <w:t>Nancy BISIN</w:t>
      </w:r>
    </w:p>
    <w:p>
      <w:r>
        <w:t>La présidente</w:t>
      </w:r>
    </w:p>
    <w:p>
      <w:r>
        <w:t>Valérie MONTANI Une copie conforme du présent arrêt est notifiée aux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