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ATAS/383/2005 vom 4. Mai 2005</w:t>
      </w:r>
    </w:p>
    <w:p>
      <w:r>
        <w:t>GE Cour de justice, 2005-05-04, FR</w:t>
      </w:r>
    </w:p>
    <w:p>
      <w:r>
        <w:rPr>
          <w:b/>
        </w:rPr>
        <w:t xml:space="preserve">Quelle: </w:t>
      </w:r>
      <w:r>
        <w:t>https://mcp.opencaselaw.ch/entscheid/ge_gerichte_ATAS_383_2005</w:t>
      </w:r>
    </w:p>
    <w:p>
      <w:r>
        <w:t>FR: GE_GERICHTE ATAS/383/2005 du 4 mai 2005</w:t>
      </w:r>
    </w:p>
    <w:p>
      <w:r>
        <w:t>IT: GE_GERICHTE ATAS/383/2005 del 4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(162 LOJ)..</w:t>
      </w:r>
    </w:p>
    <w:p>
      <w:r>
        <w:rPr>
          <w:b/>
        </w:rPr>
        <w:t>E. 2</w:t>
      </w:r>
    </w:p>
    <w:p>
      <w:r>
        <w:t>Conformément à l’art. 3 al. 3 des dispositions transitoires de la loi du 14 novembre 2002 modifiant la LOJ, la présente cause, introduite avant l’entrée de la loi précitée et pendant devant la Commission cantonale de recours en matière d’assurance- invalidité a été transmise d’office au Tribunal cantonal des assurances sociales qui statue en instance unique et dans la composition prévue par l’art. 162 LOJ sur les contestations relatives à la loi fédérale sur l’assurance-invalidité, du 19 juin 1959 – LAI (art. 56V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 cas d’espèce sera en conséquence examiné à la lumière des dispositions en vigueur jusqu’au 31 décembre 2002 pour la période antérieure, et le cas échéant selon les dispositions en vigueur dès le 1er janvier 2003 pour les faits postérieurs, étant rappelé que les notions fondamentales</w:t>
      </w:r>
    </w:p>
    <w:p>
      <w:r>
        <w:t>A/1923/2003 - 5/10 - sont demeurées inchangées.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a été déposé dans la forme et le délai prescrits par la loi, de sorte qu’il est recevable (art. 56 et 60 LPGA).</w:t>
      </w:r>
    </w:p>
    <w:p>
      <w:r>
        <w:rPr>
          <w:b/>
        </w:rPr>
        <w:t>E. 4</w:t>
      </w:r>
    </w:p>
    <w:p>
      <w:r>
        <w:t>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personnes assurées ont droit à une rente entière si elles sont invalides à 66 2/3 pour cent au moins, à une demi-rente si elles sont invalides à 50 pour cent au moins ou à un quart de rente si elles sont invalides à 40 pour cent au moins (art. 28 al. 1 LAI).</w:t>
      </w:r>
    </w:p>
    <w:p>
      <w:r>
        <w:rPr>
          <w:b/>
        </w:rPr>
        <w:t>E. 5</w:t>
      </w:r>
    </w:p>
    <w:p>
      <w:r>
        <w:t>En l’espèce, est litigieuse la question des répercussions sur la capacité de travail des atteintes à la santé présentées par la recourante.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w:t>
      </w:r>
    </w:p>
    <w:p>
      <w:r>
        <w:t>A/1923/2003 - 6/10 -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selon le rapport adressé par le médecin traitant de la recourante à l’intimé, sa patiente souffre de lombalgies chroniques, d’une dioscopathie L5 – S1, d’une probable fibromyalgie, d’obésité et d’ostéopénie. En raison de ces atteintes à la santé, la recourante n’est plus à même d’exercer son activité d’ouvrière d’usine à plein temps et elle présente une incapacité de travail de 50 % dès le 19 juillet 1999. L’examen pratiqué par le SMR LEMAN a révélé que sur le plan rhumatologique et ostéoarticulaire, la recourante présente un discret trouble statique et une obésité majorée par un syndrome trophostatique post-ménopausique. Les radiographies témoignent d’atteintes dégénératives, avec une discarthrose assez prononcée en L5- S1 mais sans évolution significative depuis 4 ans. Il n’y a pas d’évidence d’une atteinte radiculaire irritative ou déficitaire ni de canal étroit secondaire. Il n’y a d’autre part pas d’argument pour un rhumatisme inflammatoire axial, ni clinique, ni radiologique. L’examen des articulations périphériques est normal. Au moment de l’examen, quatre points d’insertion ont été trouvés, ce qui ne contredit pas le diagnostic de fibromyalgie qui a pu être plus floride avant, mais qui semble évoluer favorablement. L’assurée ne prend d’ailleurs plus régulièrement de traitement antalgique anti-inflammatoire. Sur le plan psychiatrique, l’examen clinique n’a pas révélé de dépression majeure, de décompensation psychotique ou d’anxiété généralisée. La recourante ne présente que des phobies spécifiques (voyages en avion ou en bateau) d’intensité légère et avec la mise en place de mécanismes d’évitement. La symptomatologie de phobie spécifique est limitée à des symptômes phobiques et ne s’accompagne pas d’angoisses persistantes ni d’attaques de panique. Ce diagnostic n’a pas d’influence sur la capacité de travail. Quant aux traits de personnalité pathologique anxieuse, ils sont discrets et ne permettent pas de retenir un trouble spécifique de ce registre. Les médecins se sont déclarées surprises par l’allégation d’intenses douleurs dont le</w:t>
      </w:r>
    </w:p>
    <w:p>
      <w:r>
        <w:t>A/1923/2003 - 7/10 - descriptif est vague. L’exagération des plaintes somatiques n’est pas accompagnée d’un trouble de l’humeur, d’un trouble somatique grave, d’un trouble hypochondriaque ni d’un trouble délirant. Enfin, l’environnement psychosocial de la recourante n’est pas perturbé ; l’anamnèse a révélé que l’assurée effectue ses activités à son rythme, elle fait du vélo d’appartement, de la gym, elle se promène et fait ses courses. Sa vie sociale est normale, elle sort souvent pour aller danser et voit régulièrement ses amis et sa famille. En conclusion, il n’y a aucune incapacité de travail du point de vue psychiatrique. Dans son activité professionnelle, les médecins du SMR retiennent une diminution de rendement de 10 % pour permettre à la recourante quelques périodes de repos et d’alléger sa journée pour ses exercices de détente musculaire. La recourante conteste ces conclusions, se référant aux rapports de son médecin- traitant. Selon ce dernier, sa patiente souffre de lombalgies chroniques depuis plusieurs années et d’une discopathie qu’il qualifie de sévère. Il ne la voit pas reprendre une activité supérieure à 50 %.</w:t>
      </w:r>
    </w:p>
    <w:p>
      <w:r>
        <w:rPr>
          <w:b/>
        </w:rPr>
        <w:t>E. 6</w:t>
      </w:r>
    </w:p>
    <w:p>
      <w:r>
        <w:t>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w:t>
      </w:r>
    </w:p>
    <w:p>
      <w:r>
        <w:t>A/1923/2003 - 8/10 - rapport ou comme expertise, mais bel et bien son contenu (ATF 125 V 352 consid. 3a, 122 V 160 consid. 1c et les références). Or, en l’occurrence, le Tribunal de céans constate que les médecins du SMR LEMAN ont effectué une anamnèse détaillée et complète, qu’elles ont pratiqué un examen clinique complet, rhumatologique et psychiatrique. Il en résulte que du point de vue ostéoarticulaire, la recourante ne présente pas de limitations évidentes. De même, aucune limitation d’amplitude des membres inférieurs n’a été objectivée. Les radiographies témoignent d’atteintes dégénératives, avec une discarthrose assez prononcée en L5-S1, mais sans évolution significative depuis 4 ans. Il n’y a pas d’évidence d’une atteinte radiculaire irritative ou déficitaire, ni de canal étroit secondaire. Il n’y a pas d’argument pour un rhumatisme inflammatoire axial, ni clinique, ni radiologique. L’examen des articulations est normal. Au moment de l’examen, les médecins n’ont trouvé que quatre points d’insertion, ce qui ne contredit pas le diagnostic de fibromyalgie qui a pu être plus floride avant, mais qui semble évoluer favorablement. La recourante ne prend d’ailleurs plus régulièrement de traitement antalgique ou anti-inflammatoire. Quant à l’examen clinique psychiatrique, le diagnostic de dépression majeure, de décompensation psychotique ou d’anxiété généralisée n’a pu être retenu. Les phobies spécifiques d’intensité légère, avec la mise en place de mécanismes d’évitement, n’ont pas d’incidence sur la capacité de travail. En conclusion, la recourante ne présente aucune limitation fonctionnelle psychiatrique. Force est de constater que les plaintes de la patiente ont été prises en compte et que les médecins du SMR ont procédé à une étude circonstanciée du cas sur la base du dossier complet, qui a abouti à la conclusion que la fibromyalgie ne présente pas le degré de gravité requis pour être considérée comme invalidante Pour le surplus, l’appréciation de la situation médicale globale est claire et les conclusions dûment motivées. Le rapport remplit en conséquence toutes les conditions exigées par la jurisprudence pour lui conférer pleine valeur probante. Les conclusions du Docteur D__________ ne permettent pas une appréciation différente sur le plan rhumatologique ; en effet, il mentionne qu’il n’y a pas de limitation fonctionnelle, ni de déformation des coudes, des épaules, des hanches et des genoux. Quant au tableau clinique évocateur d’une fibromyalgie, il s’agit d’un diagnostic déjà connu et le médecin ne relève pas d’autres atteintes à la santé. Il ne se prononce par ailleurs pas sur la capacité de travail. Quant au rapport établi par le Docteur E__________ le 13 novembre 2003 et produit en cours de procédure, il mentionne une symptomatologie dépressive et anxieuse existant depuis quatre ans, accompagnée de troubles du sommeil récidivants et d’anxiété nocturne. Il relate que les plaintes sont surtout d’ordre physique, sous forme de douleurs multiples (fibromyalgie) et considère que la patiente n’est plus en mesure de travailler davantage que 50 %. Force est cependant</w:t>
      </w:r>
    </w:p>
    <w:p>
      <w:r>
        <w:t>A/1923/2003 - 9/10 - de constater que ce médecin ne fait état d’aucun diagnostic nouveau, notamment sur le plan psychiatrique. Au vu de ce qui précède, le Tribunal n’a aucun motif de s’écarter des conclusions claires émises par le SMR LEMAN. Le recours, mal fondé, doit être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