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ATAS/382/2019 vom 30. April 2019</w:t>
      </w:r>
    </w:p>
    <w:p>
      <w:r>
        <w:t>GE Cour de justice, 2019-04-30, FR</w:t>
      </w:r>
    </w:p>
    <w:p>
      <w:r>
        <w:rPr>
          <w:b/>
        </w:rPr>
        <w:t xml:space="preserve">Quelle: </w:t>
      </w:r>
      <w:r>
        <w:t>https://mcp.opencaselaw.ch/entscheid/ge_gerichte_ATAS_382_2019</w:t>
      </w:r>
    </w:p>
    <w:p>
      <w:r>
        <w:t>FR: GE_GERICHTE ATAS/382/2019 du 30 avril 2019</w:t>
      </w:r>
    </w:p>
    <w:p>
      <w:r>
        <w:t>IT: GE_GERICHTE ATAS/382/2019 del 30 aprile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w:t>
      </w:r>
    </w:p>
    <w:p>
      <w:r>
        <w:t>A/1974/2018 - 4/11 -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physique/les personnes morales, le for est celui de son domicile/de leur siège (art. 10 al. 1 let. a/b CPC), étant précisé que l’art. 17 al. 1 CPC consacre la possibilité d’une élection de for écrite. En l’occurrence, l’art. 20 des conditions générales pour l’assurance-maladie complémentaire prévoit qu’en « cas de procédure judiciaire, l’assureur reconnaît comme for son siège social, de même que le domicile suisse du preneur d’assurance ou de l’ayant droit ». La demanderesse ayant son domicile à Genève, la chambre de céans est compétente à raison du lieu pour connaître de la présente demande.</w:t>
      </w:r>
    </w:p>
    <w:p>
      <w:r>
        <w:rPr>
          <w:b/>
        </w:rPr>
        <w:t>E. 2.6</w:t>
      </w:r>
    </w:p>
    <w:p>
      <w:r>
        <w:t>des conditions spéciales de la catégorie d’assurance Priveco Varia ici applicables, définit quant à lui précisément la maternité, comme étant notamment « la fausse couche et la grossesse extra-utérine ou non évolutive ». Force est de conclure que le risque maternité, comprenant plus particulièrement la fausse couche ou la grossesse non évolutive, n’est pas couvert par l’assurance complémentaire Priveco. La demande, mal fondée, est rejetée.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t>A/1974/2018 - 5/11 -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w:t>
      </w:r>
    </w:p>
    <w:p>
      <w:r>
        <w:t>A/1974/2018 - 6/11 -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6</w:t>
      </w:r>
    </w:p>
    <w:p>
      <w:r>
        <w:t>Le litige porte sur la prise en charge par l’assureur de la somme de CHF 6'541.55, représentant les frais relatifs à l’hospitalisation de l’assurée dans la division semi- privée de la Clinique des Grangettes, des 20 et 21 décembre 2017.</w:t>
      </w:r>
    </w:p>
    <w:p>
      <w:r>
        <w:rPr>
          <w:b/>
        </w:rPr>
        <w:t>E. 7</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w:t>
      </w:r>
    </w:p>
    <w:p>
      <w:r>
        <w:rPr>
          <w:b/>
        </w:rPr>
        <w:t>E. 8</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w:t>
      </w:r>
    </w:p>
    <w:p>
      <w:r>
        <w:t>A/1974/2018 - 7/11 -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A/1974/2018 - 8/11 -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11</w:t>
      </w:r>
    </w:p>
    <w:p>
      <w:r>
        <w:t>En l’espèce, la demanderesse a conclu auprès de l’assureur une assurance-maladie complémentaire Priveco Varia pour l’hospitalisation en division privée d’un établissement répertorié selon l’art. 39 LAMal. Elle a été hospitalisée à la clinique des Grangettes les 20 et 21 décembre 2017 pour y subir un curetage évacuateur, le Dr B______ ayant diagnostiqué une fausse couche à huit semaines (arrêt de croissance). En l’espèce, l’assureur a refusé d’accorder à la demanderesse la prise en charge des frais d’hospitalisation en division semi-privée.</w:t>
      </w:r>
    </w:p>
    <w:p>
      <w:r>
        <w:rPr>
          <w:b/>
        </w:rPr>
        <w:t>E. 12</w:t>
      </w:r>
    </w:p>
    <w:p>
      <w:r>
        <w:t>L’art. 3 CGA prévoit que « selon le choix manifesté par le preneur d’assurance dans sa proposition, l’assureur couvre principalement la maladie et l’accident dans les limites des CGA et CSC. En outre, l’assureur assume des prestations de maternité dans les limites des articles 4 des catégories "Complementa" et "Complementa Plus", ainsi que dans celles des catégories "Materna Eco", "Materna Media", "Materna Plus" et "Natura R3" ». Force est de constater que l’assurance complémentaire Priveco ne figure pas dans la liste des catégories pour lesquelles l’assureur assume des prestations de maternité. L’art. 6 des conditions spéciales pour l’assurance-maladie complémentaire, de la catégorie Priveco Varia (CSC), édition juillet 2015, prévoit expressément que n’est</w:t>
      </w:r>
    </w:p>
    <w:p>
      <w:r>
        <w:t>A/1974/2018 - 9/11 - pas couverte la maternité au sens de l’art. 2.6 CGA et, selon les cas, de l’art. 4.1.6 CGA. Or, l’art. 2.6 CGA définit la notion de maternité comme étant « la grossesse et l’accouchement, ainsi que la fausse couche et la grossesse extra-utérine ou non- évolutive ». L’art. 4.1.6 CGA, quant à lui, exclut de l’assurance « l’interruption ou la conservation de la grossesse, les méthodes de procréation assistée et les traitements de la stérilité ».</w:t>
      </w:r>
    </w:p>
    <w:p>
      <w:r>
        <w:rPr>
          <w:b/>
        </w:rPr>
        <w:t>E. 13</w:t>
      </w:r>
    </w:p>
    <w:p>
      <w:r>
        <w:t>La demanderesse allègue que les complications survenant avant la 13ème semaine ne ressortent pas de la maternité et sont considérées comme des maladies. Elle cite à cet égard deux articles publiés sur internet. Il y a toutefois lieu de relever, à l’instar de l’assureur, que ces articles concernent l’assurance obligatoire des soins selon la LAMal, soit les art. 64 al. 7 et 29 LAMal, selon lesquels en effet le remboursement de prestations liées à une grossesse, qui sont fournies à partir de la 13ème semaine de grossesse, pendant l’accouchement, et jusqu’à huit semaines après l’accouchement relèvent de prestations spécifique de maternité en particulier. Ils ne sont ainsi pas pertinents pour se prononcer sur le présent cas, qui relève de l’assurance-maladie complémentaire soumise aux CGA et CSC.</w:t>
      </w:r>
    </w:p>
    <w:p>
      <w:r>
        <w:rPr>
          <w:b/>
        </w:rPr>
        <w:t>E. 14</w:t>
      </w:r>
    </w:p>
    <w:p>
      <w:r>
        <w:t>La demanderesse fait valoir que l’exclusion de couverture prévue à l’art. 4.1.6 CGA n’est pas suffisamment précise, dès lors qu’elle ne caractérise pas le cas de maladie en question et cite un arrêt rendu par la chambre de céans le 22 novembre 2012 dans une affaire similaire, dans lequel l’assurance a été condamnée à prester. Il y a lieu de rappeler que dans le cas sur lequel portait l’arrêt du 22 novembre 2012 (ATAS/1423/2012), le défendeur refusait la prise en charge de l'hospitalisation de la demanderesse en division semi-privée, en se fondant sur l'art. 6 ch. 1 des conditions spéciales de la catégorie Optima + conclue auprès d’Intras Assurance SA, aux termes duquel aucune prestation n’était allouée dans le cadre de l’assurance complémentaire, si le séjour hospitalier était en rapport avec une grossesse ou un accouchement. Selon lui, tel était le cas, puisque le curetage évacuateur subi par la demanderesse était lié à sa grossesse. Celle-ci considérait au contraire que dans le langage courant, l'on ne parle de grossesse que lorsqu'il s'agit d'une grossesse évolutive qui, à terme, se concrétise par un accouchement, de sorte qu'il se justifiait d'interpréter la clause d'exclusion de l’art. 6.1 CSA en défaveur de la caisse, le doute devant lui profiter.</w:t>
      </w:r>
    </w:p>
    <w:p>
      <w:r>
        <w:t>La chambre de céans a constaté que le langage courant distinguait en effet plusieurs types de grossesse, et qu’il était permis de comprendre, de bonne foi, que la clause d'exclusion de l'art. 6 ch. 1 CSA visait exclusivement les cas de grossesse et d'accouchement se déroulant normalement, de sorte que son hospitalisation en division semi-privée constituait un événement assuré par son contrat d'assurance complémentaire. Aussi en a-t-elle conclu qu’en application du principe de la confiance, il eût appartenu au défendeur de présenter à la demanderesse, à la</w:t>
      </w:r>
    </w:p>
    <w:p>
      <w:r>
        <w:t>A/1974/2018 - 10/11 - conclusion du contrat, les restrictions qu’il entendait mettre à son engagement de façon plus claire. La demande a été, partant, admise. La même solution ne saurait être apportée dans le cas d’espèce, dès lors que l’art.</w:t>
      </w:r>
    </w:p>
    <w:p>
      <w:r>
        <w:rPr>
          <w:b/>
        </w:rPr>
        <w:t>E. 15</w:t>
      </w:r>
    </w:p>
    <w:p>
      <w:r>
        <w:t>Pour le surplus, la procédure est gratuite (art. 114 let. e CPC).</w:t>
      </w:r>
    </w:p>
    <w:p>
      <w:r>
        <w:t>A/1974/2018 - 11/11 -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