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ATAS/381/2022 vom 27. April 2022</w:t>
      </w:r>
    </w:p>
    <w:p>
      <w:r>
        <w:t>GE Cour de justice, 2022-04-27, FR</w:t>
      </w:r>
    </w:p>
    <w:p>
      <w:r>
        <w:rPr>
          <w:b/>
        </w:rPr>
        <w:t xml:space="preserve">Quelle: </w:t>
      </w:r>
      <w:r>
        <w:t>https://mcp.opencaselaw.ch/entscheid/ge_gerichte_ATAS_381_2022</w:t>
      </w:r>
    </w:p>
    <w:p>
      <w:r>
        <w:t>FR: GE_GERICHTE ATAS/381/2022 du 27 avril 2022</w:t>
      </w:r>
    </w:p>
    <w:p>
      <w:r>
        <w:t>IT: GE_GERICHTE ATAS/381/2022 del 27 aprile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pendant la période du 15 juillet au 15 août inclusivement (art. 38 al. 4 let. b LPGA et art. 89C let. b LPA), le recours est recevable.</w:t>
      </w:r>
    </w:p>
    <w:p>
      <w:r>
        <w:rPr>
          <w:b/>
        </w:rPr>
        <w:t>E. 5</w:t>
      </w:r>
    </w:p>
    <w:p>
      <w:r>
        <w:t>Est litigieuse en l'occurrence la question de savoir si la recourante a droit à une rente d'invalidité supérieure à un quart.</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A/3208/2019 - 13/19 -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A/3208/2019 - 14/19 -</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w:t>
      </w:r>
    </w:p>
    <w:p>
      <w:r>
        <w:t>A/3208/2019 - 15/19 -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w:t>
      </w:r>
    </w:p>
    <w:p>
      <w:r>
        <w:rPr>
          <w:b/>
        </w:rPr>
        <w:t>E. 11</w:t>
      </w:r>
    </w:p>
    <w:p>
      <w:r>
        <w:t>a. En l'espèce, la recourante a fait l'objet d'une expertise judiciaire par le Dr I______, dès lors que la chambre de céans n'avait pas jugé convaincante l'expertise du Dr E______, comme cela est exposé dans l'ordonnance d'expertise. L'expert judiciaire émet le diagnostic de autres troubles affectifs bipolaires depuis</w:t>
      </w:r>
    </w:p>
    <w:p>
      <w:r>
        <w:t>A/3208/2019 - 16/19 - 2013 avec répercussion sur la capacité de travail. À cela s'ajoute le diagnostic de trouble de la personnalité dépendante dès le début de l'âge adulte sans influence sur la capacité de travail. Celle-ci est de 60% depuis 2013 à cause des périodes de décompensation psychiques récurrentes. En effet, les fluctuations de l'humeur entraînent trois fois par an des passages dépressifs d'une durée de trois semaines au maximum et des périodes d'élation de l'humeur avec hyperactivité et insomnies, comportements heurtant sur le plan social, agitation ou tendance querelleuse d'une durée de deux semaines également trois fois par an. Pendant les phases dépressives, la recourante n'est pas capable de gérer la vie quotidienne et se replie sur elle- même. Elle a également des difficultés à gérer les activités simples et présente une apathie et une anhédonie. Pendant les phases hypomanes, la tendance à la dispersion peut aussi affecter la gestion du quotidien, mais dans une moindre mesure. b. Cette expertise remplit en principe les critères jurisprudentiels pour lui reconnaître une pleine valeur probante, sous réserve de ce qui suit. En effet, elle a été rendue en pleine connaissance du dossier, prend en compte les plaintes de la recourante, est fondée sur un examen approfondi et contient des conclusions motivées. L'expert judiciaire a également examiné la capacité de travail en fonction des indicateurs élaborés par le Tribunal fédéral et a notamment écarté une exagération des symptômes ou une constellation semblable. c. L'intimé partage les conclusions de l'expertise judiciaire. Toutefois, la recourante lui dénie une valeur probante, essentiellement en ce que l'expert judiciaire retient une capacité de travail de 60% et non pas de 0%. Il ressort de l'expertise que la recourante est totalement incapable de travailler durant environ neuf semaines au total par an, ce qui correspond à environ deux mois. Selon la psychologue traitante, il faut ajouter encore deux semaines après chaque phase jusqu'à ce que la recourante s'en rétablisse totalement. À cela s'ajoutent des phases d'hypomanie, pendant lesquelles la recourante peut avoir un comportement complètement désinhibé et inadéquat. Il est douteux que la recourante puisse alors être imposée à un employeur et qu'elle soit capable de travailler, en particulier en raison de ses insomnies. Les phases d'hypomanie se présentent pendant six semaines par an au total. Dans ces conditions, même si la recourante était en mesure d'exercer une activité professionnelle pendant le reste de l'année à 100%, aucun employeur n'accepterait que son employé s'absente au moins trois fois par an durant environ trois semaines à chaque fois, indépendamment des phases d'hypomanie qui affectent probablement aussi la capacité de travail. Jusqu'en 2020, la recourante a par ailleurs été hospitalisée à plusieurs reprises, soit du 5 au 26 avril 2018, du 15 au 29 octobre 2019 et du 20 avril au 11 mai 2020. Par conséquent, en raison de l'absentéisme fréquent et d'une durée relativement longue, l'exercice d'une activité professionnelle impliquerait en l'occurrence de</w:t>
      </w:r>
    </w:p>
    <w:p>
      <w:r>
        <w:t>A/3208/2019 - 17/19 - l'employeur des concessions irréalistes, de sorte qu'il semble exclu que la recourante puisse retrouver un emploi régulier. Au demeurant, le caractère irréaliste des possibilités de travail découle exclusivement de l'atteinte à la santé, à savoir du trouble bipolaire, et non de facteurs psychosociaux ou socioculturels. Pour le surplus, avec la recourante et ses médecin et psychologue traitants, la Chambre de céans considère qu'il est hautement vraisemblable que la fréquence et la sévérité des fluctuations de l'humeur augmenteraient, si la recourante reprenait le travail. Il est en effet dans cours normal des choses qu'une activité professionnelle comporte un stress accru qui peut entraîner des décompensations sur le plan psychiatrique chez les personnes atteintes de troubles psychiques relativement graves comme un trouble bipolaire. Or, selon la psychologue, même un stress minime, tel qu'un rendez-vous dans la matinée ou une démarche administrative à faire, est source d'anxiété et d'insomnie. Le Dr C______ atteste dans son dernier rapport que la santé psychique de la recourante n'était stable que grâce à un cadre de vie hypostimulant, un traitement psychotrope et des soins infirmiers et spécialisés. La reprise d'une activité professionnelle risquerait de provoquer une nouvelle et longue décompensation psychiatrique. Ces appréciations emportent la conviction de la chambre de céans. Cela étant, la conclusion de l'expert judiciaire, selon laquelle la recourante conserve une capacité de travail de 60%, n'est pas crédible et il appert au contraire que celle-ci est nulle en raison de l'absentéisme prévisible important attesté par l'expert judiciaire, qui rend les perspectives de reprise de travail irréalistes. De surcroît, l'exercice d'une activité professionnelle risque de péjorer la santé psychique de la recourante, de sorte qu'un taux de 60% de la capacité de travail ne paraît pas non plus convaincant sur le plan médical.</w:t>
      </w:r>
    </w:p>
    <w:p>
      <w:r>
        <w:rPr>
          <w:b/>
        </w:rPr>
        <w:t>E. 12</w:t>
      </w:r>
    </w:p>
    <w:p>
      <w:r>
        <w:t>Par conséquent, il y a lieu de reconnaître à la recourante une rente d'invalidité entière. Quant au début de son incapacité de travail, l'intimé la date à février 2016 et considère que le droit à la rente ne naît qu'en septembre 2017. Quant à la recourante, elle conclut à l'octroi d'une rente entière dès septembre 2016 au plus tard. Cette question peut cependant rester ouverte. En effet, la recourante n'a déposé sa demande de prestations qu'en mars 2017. Par conséquent, indépendamment du début de son invalidité, son droit à la rente naît au plus tôt six mois après le dépôt de la demande, comme exposé ci-dessus, soit en septembre 2017.</w:t>
      </w:r>
    </w:p>
    <w:p>
      <w:r>
        <w:rPr>
          <w:b/>
        </w:rPr>
        <w:t>E. 13</w:t>
      </w:r>
    </w:p>
    <w:p>
      <w:r>
        <w:t>Au vu de ce qui précède, le recours sera admis, la décision querellée annulée et la recourante mise au bénéfice d'une rente d'invalidité entière à compter de septembre 2017.</w:t>
      </w:r>
    </w:p>
    <w:p>
      <w:r>
        <w:rPr>
          <w:b/>
        </w:rPr>
        <w:t>E. 14</w:t>
      </w:r>
    </w:p>
    <w:p>
      <w:r>
        <w:t>La recourante obtenant gain de cause, une indemnité de CHF 1'000.- lui sera accordée à titre de participation à ses frais et dépens (art. 61 let. g LPGA ; art. 6 du règlement sur les frais, émoluments et indemnités en matière administrative du</w:t>
      </w:r>
    </w:p>
    <w:p>
      <w:r>
        <w:t>A/3208/2019 - 18/19 - 30 juillet 1986 [RFPA - E 5 10.03]), étant précisé que son mandataire n'a été commis qu'en fin de procédure, soit après réception de l'expertise judiciaire.</w:t>
      </w:r>
    </w:p>
    <w:p>
      <w:r>
        <w:rPr>
          <w:b/>
        </w:rPr>
        <w:t>E. 15</w:t>
      </w:r>
    </w:p>
    <w:p>
      <w:r>
        <w:t>Au vu du sort du recours, il y a lieu de condamner l'intimé au paiement d'un émolument de CHF 200.- (art. 69 al. 1bis LAI).</w:t>
      </w:r>
    </w:p>
    <w:p>
      <w:r>
        <w:t>A/3208/2019 - 19/19 -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