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ATAS/381/2019 vom 30. April 2019</w:t>
      </w:r>
    </w:p>
    <w:p>
      <w:r>
        <w:t>GE Cour de justice, 2019-04-30, FR</w:t>
      </w:r>
    </w:p>
    <w:p>
      <w:r>
        <w:rPr>
          <w:b/>
        </w:rPr>
        <w:t xml:space="preserve">Quelle: </w:t>
      </w:r>
      <w:r>
        <w:t>https://mcp.opencaselaw.ch/entscheid/ge_gerichte_ATAS_381_2019</w:t>
      </w:r>
    </w:p>
    <w:p>
      <w:r>
        <w:t>FR: GE_GERICHTE ATAS/381/2019 du 30 avril 2019</w:t>
      </w:r>
    </w:p>
    <w:p>
      <w:r>
        <w:t>IT: GE_GERICHTE ATAS/381/2019 del 30 aprile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(art. 56ss LPGA), le présent recours est recevable.</w:t>
      </w:r>
    </w:p>
    <w:p>
      <w:r>
        <w:rPr>
          <w:b/>
        </w:rPr>
        <w:t>E. 3</w:t>
      </w:r>
    </w:p>
    <w:p>
      <w:r>
        <w:t>Le litige porte sur le degré d’invalidité du recourant, plus précisément sur le point de savoir s’il s’est aggravé dans une mesure ouvrant le droit à la rente depuis le 15 décembre 2010.</w:t>
      </w:r>
    </w:p>
    <w:p>
      <w:r>
        <w:rPr>
          <w:b/>
        </w:rPr>
        <w:t>E. 4</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5</w:t>
      </w:r>
    </w:p>
    <w:p>
      <w:r>
        <w:t>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w:t>
      </w:r>
    </w:p>
    <w:p>
      <w:r>
        <w:t>A/1903/2018 - 14/18 - de la décision litigieuse (arrêts du Tribunal fédéral 9C_89/2013 du 12 août 2013 consid. 4.1 et 9C_431/2009 du 3 novembre 2009 consid. 2.1).</w:t>
      </w:r>
    </w:p>
    <w:p>
      <w:r>
        <w:rPr>
          <w:b/>
        </w:rPr>
        <w:t>E. 6</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t>A/1903/2018 - 15/18 -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7</w:t>
      </w:r>
    </w:p>
    <w:p>
      <w:r>
        <w:t>Dans un arrêt de principe de 2011, le Tribunal fédéral a établi des exigences accrues en matière de participation des assurés lorsqu’une assurance sociale diligente une expertise, eu égard à leur droit d’être entendus. Ces exigences comprennent le droit de se prononcer sur le choix de l'expert, de connaître les questions qui lui seront posées, et d'en formuler d'autres (ATF 137 V 210 consid. 3.2.4.6 et 3.2.4.9). Ces exigences ressortent également des art. 57 ss de la loi sur la procédure civile fédérale (PCF – RS 273), applicables par analogie à la procédure administrative (Marco WEISS, Die Mitwirkungsrechte der Bundeszivilprozessordnung im Sozialversicherungsrecht : aktuelle Entwicklungen in der bundesgerichtlichen Rechtsprechung in AJP 2016 p. 1214). Le fait pour une assurance de ne pas permettre à un assuré d’exercer les prérogatives résultant de son droit d’être entendu, soit en particulier celui de se prononcer sur la nomination de l'expert, sur les questions à poser, ainsi que sur le résultat de l'expertise, relève d’une grave violation de ce droit (arrêt du Tribunal fédéral des assurances U 22/03 du 10 juillet 2003 consid. 4). Ce vice ne peut être réparé lorsque l'expertise constitue l'élément central et prépondérant de l'instruction (RAMA 2000 n° U 369 p. 104 consid. 2b ; arrêt du Tribunal fédéral des assurances U 265/04 du 23 septembre 2005 consid. 2.3).</w:t>
      </w:r>
    </w:p>
    <w:p>
      <w:r>
        <w:rPr>
          <w:b/>
        </w:rPr>
        <w:t>E. 8</w:t>
      </w:r>
    </w:p>
    <w:p>
      <w:r>
        <w:t>En l’espèce, il convient en premier lieu de se déterminer sur le grief d’ordre formel soulevé par le recourant, eu égard à la mention d’un médecin impliqué dans la relecture de l’expertise du CEMed, dont le nom ne lui a pas été communiqué. Il est souhaitable que les assurés soient informés de l’identité du médecin appelé à participer à l’établissement et à la vérification du rapport, afin qu’ils puissent faire valoir d’éventuels motifs de récusation. Cela étant, il semble que la pratique du CEMed consiste à systématiquement recourir à un médecin qui ne participe pas à l’expertise proprement dite afin de vérifier si les conclusions de ses confrères sont compréhensibles. Le rôle de ce</w:t>
      </w:r>
    </w:p>
    <w:p>
      <w:r>
        <w:t>A/1903/2018 - 16/18 - médecin paraît ainsi se limiter à un examen de la cohérence formelle du rapport d’expertise, de sorte que son intervention ne doit en principe pas avoir de portée matérielle. Dans le cas d’espèce, la relecture de l’expertise par un médecin dont le nom n’a pas été communiqué au recourant ne suffit ainsi pas à admettre une violation du droit d’être entendu, compte tenu de l’absence de répercussions sur le fond de son intervention. On peut du reste se demander si, par analogie avec le principe tiré de la bonne foi dictant qu’un motif de récusation doit être invoqué immédiatement, sans attendre une procédure de recours subséquente (arrêt du Tribunal fédéral 9C_519/2011 du 5 avril 2012 consid. 3.1), le recourant – assisté d’un avocat – aurait dû faire valoir cette violation alléguée de son droit d’être entendu lorsque le rapport de l’expertise lui a été communiqué, et non au stade de la présente procédure.</w:t>
      </w:r>
    </w:p>
    <w:p>
      <w:r>
        <w:rPr>
          <w:b/>
        </w:rPr>
        <w:t>E. 9</w:t>
      </w:r>
    </w:p>
    <w:p>
      <w:r>
        <w:t>Par ailleurs, au plan formel, l’expertise des Drs O_____ et N_____ comprend tous les éléments nécessaires pour se voir reconnaître une pleine valeur probante, puisque ces médecins ont pris connaissance du dossier du recourant, établi son anamnèse, recueilli ses plaintes et relaté les résultats de leurs examens cliniques. Sur le fond, elle emporte également la conviction dès lors que ses conclusions sont soigneusement motivées. En particulier, la neurologue a exposé les motifs qui l’amenaient à s’écarter de l’appréciation des Dresses I_____ et H_____. Quant aux résultats des examens neuropsychologiques, on doit donner raison au recourant en tant qu’il relève que les rapports d’examens ne permettent pas de conclure à un défaut de collaboration. Cela étant, on peut néanmoins se rallier à l’analyse de la Dresse N_____, qui conclut uniquement à une lenteur et n’en déduit pas de diminution de rendement. Le recourant reproche en outre aux experts de ne pas avoir procédé à de nouveaux examens, notamment radiologiques. Or, il faut souligner qu’ils avaient à disposition les documents d’imagerie réalisés jusqu’en 2013. En outre, dans la mesure où l’état était stabilisé selon leurs constatations et que le status clinique n’avait pas évolué, de nouveaux examens n’étaient pas indispensables. Ce grief tombe ainsi à faux. Par ailleurs, le recourant ne peut être suivi en tant qu’il tire argument des constatations des experts du CHUV, l’absence de valeur probante de leur rapport ayant été confirmée par le Tribunal fédéral. S’agissant du fait que des diagnostics plus étendus auraient été posés, il faut rappeler qu’un nouveau diagnostic ne constitue pas encore en lui-même une aggravation ou une modification notable de l'état de santé ou des circonstances entourant le droit à la rente au sens de l'art. 17 LPGA, dès lors que seule la répercussion de l'atteinte à la santé sur la capacité de travail importe pour juger du droit aux prestations d'un assuré (arrêt du Tribunal fédéral 9C_793/2011 du 30 juillet 2012 consid. 4.1). Dans la mesure où l’état clinique ne s’est pas modifié, un nouveau diagnostic ne suffit ainsi pas à admettre une entrave à la capacité de gain. Enfin, en ce qui concerne les ressources intellectuelles mentionnées par les experts, qu’ils illustrent notamment par le parcours académique du recourant, il faut</w:t>
      </w:r>
    </w:p>
    <w:p>
      <w:r>
        <w:t>A/1903/2018 - 17/18 - souligner qu’elles ont été évoquées en lien avec le caractère réaliste de l’exercice d’une activité adaptée du point de vue du marché du travail. Il ne s’agit cependant pas là d’un élément pertinent dans l’appréciation médico-théorique de la capacité de travail. Partant, son inexactitude ne porte pas à conséquence au stade de l’expertise médicale. On précisera encore que les rapports du Dr M_____ de juillet et septembre 2016, retenant des limitations fonctionnelles présentes dès 2011, ne suffisent pas à renverser l’absence d’aggravation établie par les experts du CEMed. En effet, ces rapports paraissent erronés dès lors que plusieurs des limitations fonctionnelles énumérées (notamment l’exclusion du port de charges) sont en réalité antérieures à 2011 et ont été prises en compte par les experts. Le Dr M_____ a du reste lui-même préconisé une expertise médicale. Compte tenu de ce qui précède, la chambre de céans n’a pas de motif de s’écarter des conclusions des experts, qui confirment que le recourant continuait à disposer d’une pleine capacité de travail dans une activité adaptée après le 15 décembre 2010. Par conséquent, elle ne donnera pas suite aux requêtes du recourant tendant à la mise en œuvre de mesures d’instruction et d’une expertise judiciaire, par appréciation anticipée des preuves (ATF 140 I 285 consid. 6.3.1). Le degré d’invalidité du recourant ne s’étant pas modifié dans une mesure ouvrant le droit aux prestations après décembre 2010, la décision de l’intimé doit être confirmée.</w:t>
      </w:r>
    </w:p>
    <w:p>
      <w:r>
        <w:rPr>
          <w:b/>
        </w:rPr>
        <w:t>E. 10</w:t>
      </w:r>
    </w:p>
    <w:p>
      <w:r>
        <w:t>Le recours est rejeté. Le recourant, qui succombe, supporte l’émolument de procédure de CHF 200.- (art. 69 al. 1bis LAI).</w:t>
      </w:r>
    </w:p>
    <w:p>
      <w:r>
        <w:t>A/1903/2018 - 18/18 -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