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ATAS/381/2015 vom 27. Mai 2015</w:t>
      </w:r>
    </w:p>
    <w:p>
      <w:r>
        <w:t>GE Cour de justice, 2015-05-27, FR</w:t>
      </w:r>
    </w:p>
    <w:p>
      <w:r>
        <w:rPr>
          <w:b/>
        </w:rPr>
        <w:t xml:space="preserve">Quelle: </w:t>
      </w:r>
      <w:r>
        <w:t>https://mcp.opencaselaw.ch/entscheid/ge_gerichte_ATAS_381_2015</w:t>
      </w:r>
    </w:p>
    <w:p>
      <w:r>
        <w:t>FR: GE_GERICHTE ATAS/381/2015 du 27 mai 2015</w:t>
      </w:r>
    </w:p>
    <w:p>
      <w:r>
        <w:t>IT: GE_GERICHTE ATAS/381/2015 del 27 maggio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(art. 56 à 61 LPGA).</w:t>
      </w:r>
    </w:p>
    <w:p>
      <w:r>
        <w:rPr>
          <w:b/>
        </w:rPr>
        <w:t>E. 4</w:t>
      </w:r>
    </w:p>
    <w:p>
      <w:r>
        <w:t>La question préalable à l’octroi d’éventuelles prestations est de savoir si les atteintes somatiques de l’assuré entraînent une incapacité de travail, cas échéant dans quelle mesure.</w:t>
      </w:r>
    </w:p>
    <w:p>
      <w:r>
        <w:rPr>
          <w:b/>
        </w:rPr>
        <w:t>E. 5</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Tel est le cas en l’espèce. D’une part, la chambre de céans constate que le rapport d’expertise rhumatologique ne discute pas le diagnostic de « défaut d’axe » posé par le Dr E______, ni ses répercussions éventuelles sur la capacité de travail, bien que ce diagnostic soit mentionné dans l’anamnèse. Le rapport n’expose pas non plus les raisons pour lesquelles le diagnostic de gonarthrose est écarté.</w:t>
      </w:r>
    </w:p>
    <w:p>
      <w:r>
        <w:t>- 9/12-</w:t>
      </w:r>
    </w:p>
    <w:p>
      <w:r>
        <w:t>A/9/2014 D’autre part, les évaluateurs de la fondation PRO ont conclu, après un stage d’observation professionnelle d’un mois, que l’exercice d’une activité adaptée à 50% ne leur paraissait pas réaliste. Ils ont constaté une mobilité difficile et des douleurs quotidiennes importantes, en raison desquelles l’assuré n’avait pratiquement jamais pu travailler debout et avait dû interrompre son travail toutes les 45 minutes. Pourtant, selon l’expert F______, le recourant bénéficie d’une capacité de travail de 100%, sans diminution de rendement, dans une activité légère et adaptée à ses limitations fonctionnelles. Devant la nécessité d’éclaircir les éléments médicaux rappelés supra et la divergence notable entre les conclusions de la fondation PRO et celles de l’expert, il paraît nécessaire d’ordonner une expertise judiciaire, laquelle sera confiée au Centre d’expertises de la Policlinique médicale universitaire de Lausanne. Eu égard aux opinions contradictoires des parties sur la spécialité médicale régissant les atteintes en cause, l’expertise sera confiée à deux médecins spécialisés respectivement en rhumatologie et médecine orthopédique, soit les docteurs J______, interniste, K______, spécialiste FMH en orthopédie et L______, spécialiste FMH en rhumatologie. ***</w:t>
      </w:r>
    </w:p>
    <w:p>
      <w:r>
        <w:t>- 10/12-</w:t>
      </w:r>
    </w:p>
    <w:p>
      <w:r>
        <w:t>A/9/2014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