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ATAS/37/2024 vom 12. September 2007</w:t>
      </w:r>
    </w:p>
    <w:p>
      <w:r>
        <w:t>GE Cour de justice, 2007-09-12, FR</w:t>
      </w:r>
    </w:p>
    <w:p>
      <w:r>
        <w:rPr>
          <w:b/>
        </w:rPr>
        <w:t xml:space="preserve">Quelle: </w:t>
      </w:r>
      <w:r>
        <w:t>https://mcp.opencaselaw.ch/entscheid/ge_gerichte_ATAS_37_2024</w:t>
      </w:r>
    </w:p>
    <w:p>
      <w:r>
        <w:t>FR: GE_GERICHTE ATAS/37/2024 du 12 septembre 2007</w:t>
      </w:r>
    </w:p>
    <w:p>
      <w:r>
        <w:t>IT: GE_GERICHTE ATAS/37/2024 del 12 settembre 2007</w:t>
      </w:r>
    </w:p>
    <w:p>
      <w:pPr>
        <w:pStyle w:val="Heading2"/>
      </w:pPr>
      <w:r>
        <w:t>Erwägungen</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 / détérioré depuis 2011 ?</w:t>
      </w:r>
    </w:p>
    <w:p>
      <w:r>
        <w:rPr>
          <w:b/>
        </w:rPr>
        <w:t>E. 4.5</w:t>
      </w:r>
    </w:p>
    <w:p>
      <w:r>
        <w:t>Dans quelle mesure les atteintes diagnostiquées limitent-elles les fonctions nécessaires à la gestion du quotidien (n’inclure que les déficits fonctionnels émanant des observations qui ont été</w:t>
      </w:r>
    </w:p>
    <w:p>
      <w:r>
        <w:t>- 41/44-</w:t>
      </w:r>
    </w:p>
    <w:p>
      <w:r>
        <w:t>A/68/2019 déterminantes pour le diagnostic de l’atteinte à la santé, en confirmant ou en rejetant des limitations fonctionnelles alléguées par la personne expertisée)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w:t>
      </w:r>
    </w:p>
    <w:p>
      <w:r>
        <w:t>- 16/44-</w:t>
      </w:r>
    </w:p>
    <w:p>
      <w:r>
        <w:t>A/68/2019 règles de l’art sur les critères d’un système de classification reconnu, tel le CIM ou le DSM-IV (ATF 143 V 409 consid. 4.5.2 ; ATF 141 V 281 consid. 2.1 et 2.1.1 ;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t>- 17/44-</w:t>
      </w:r>
    </w:p>
    <w:p>
      <w:r>
        <w:t>A/68/2019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w:t>
      </w:r>
    </w:p>
    <w:p>
      <w:r>
        <w:t>- 18/44-</w:t>
      </w:r>
    </w:p>
    <w:p>
      <w:r>
        <w:t>A/68/2019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w:t>
      </w:r>
    </w:p>
    <w:p>
      <w:r>
        <w:t>- 19/44-</w:t>
      </w:r>
    </w:p>
    <w:p>
      <w:r>
        <w:t>A/68/2019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w:t>
      </w:r>
    </w:p>
    <w:p>
      <w:r>
        <w:t>- 20/44-</w:t>
      </w:r>
    </w:p>
    <w:p>
      <w:r>
        <w:t>A/68/2019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w:t>
      </w:r>
    </w:p>
    <w:p>
      <w:r>
        <w:t>- 21/44-</w:t>
      </w:r>
    </w:p>
    <w:p>
      <w:r>
        <w:t>A/68/2019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7.1</w:t>
      </w:r>
    </w:p>
    <w:p>
      <w:r>
        <w:t>Est-ce que la personne expertisée présente un trouble de la personnalité selon les critères diagnostiques des ouvrages de référence et si oui, lequel ? Quel code ?</w:t>
      </w:r>
    </w:p>
    <w:p>
      <w:r>
        <w:t>- 42/44-</w:t>
      </w:r>
    </w:p>
    <w:p>
      <w:r>
        <w:t>A/68/2019</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 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w:t>
      </w:r>
    </w:p>
    <w:p>
      <w:r>
        <w:t>- 22/44-</w:t>
      </w:r>
    </w:p>
    <w:p>
      <w:r>
        <w:t>A/68/2019 liaison avec l'art. 21 al. 4 LPGA permet le refus ou la réduction des prestations (consid 5.3.1).</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septembre 2012 ?</w:t>
      </w:r>
    </w:p>
    <w:p>
      <w:r>
        <w:t>- 43/44-</w:t>
      </w:r>
    </w:p>
    <w:p>
      <w:r>
        <w:t>A/68/2019</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prise de traitement antalgique et psychotrope, faire un dosage sanguin afin de vérifier la compliance et en apprécier les résultats. 11. Appréciation d'avis médicaux du dossier</w:t>
      </w:r>
    </w:p>
    <w:p>
      <w:r>
        <w:rPr>
          <w:b/>
        </w:rPr>
        <w:t>E. 11</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t>- 23/44-</w:t>
      </w:r>
    </w:p>
    <w:p>
      <w:r>
        <w:t>A/68/2019</w:t>
      </w:r>
    </w:p>
    <w:p>
      <w:r>
        <w:rPr>
          <w:b/>
        </w:rPr>
        <w:t>E. 11.1</w:t>
      </w:r>
    </w:p>
    <w:p>
      <w:r>
        <w:t>Êtes-vous d’accord avec l’expertise du Dr I______ du 13 septembre 2012 ? En particulier avec les diagnostics posés, les limitations fonctionnelles constatées et l’estimation d’une capacité de travail de 100% ? Si non, pourquoi ?</w:t>
      </w:r>
    </w:p>
    <w:p>
      <w:r>
        <w:rPr>
          <w:b/>
        </w:rPr>
        <w:t>E. 11.2</w:t>
      </w:r>
    </w:p>
    <w:p>
      <w:r>
        <w:t>Êtes-vous d'accord avec l’appréciation de la docteure Y______ du 12 août 2016 (service médical régional de l'office de l'assurance-invalidité du canton de Genève) ? En particulier avec les diagnostics posés, les limitations fonctionnelles constatées et l’estimation d’une capacité de travail de 100% ? Si non, pourquoi ?</w:t>
      </w:r>
    </w:p>
    <w:p>
      <w:r>
        <w:rPr>
          <w:b/>
        </w:rPr>
        <w:t>E. 11.3</w:t>
      </w:r>
    </w:p>
    <w:p>
      <w:r>
        <w:t>Êtes-vous d'accord avec l’expertise de la Dre P______ du 15 juin 2022 et son complément du 27 juillet 2022 ? En particulier avec les diagnostics posés, les limitations fonctionnelles constatées et l’estimation d’une capacité de travail de 100% ? Si non, pourquoi ? 12. Quel est le pronostic ? 13. Des mesures de réadaptation professionnelle sont-elles envisageables ? 14. Faire toutes autres observations ou suggestions utiles. E. Invite l’expert à faire une appréciation consensuelle du cas avec les co-experts S______, spécialiste FMH en rhumatologie, place Z______, à Genève, et</w:t>
      </w:r>
    </w:p>
    <w:p>
      <w:r>
        <w:t>- 44/44-</w:t>
      </w:r>
    </w:p>
    <w:p>
      <w:r>
        <w:t>A/68/2019 R______, spécialiste FMH en chirurgie orthopédique et traumatologie de l'appareil locomoteur, avenue AA______ à Meyrin, s’agissant de toutes les problématiques ayant des interférences entre elles, notamment l’appréciation de la capacité de travail résiduelle. F. Invite l’expert à déposer, dans les meilleurs délais, un rapport en trois exemplaires auprès de la chambre de céans. III. Réserve le fond ainsi que le sort des frais jusqu’à droit jugé au fond.</w:t>
      </w:r>
    </w:p>
    <w:p>
      <w:r>
        <w:t>La greffière</w:t>
      </w:r>
    </w:p>
    <w:p>
      <w:r>
        <w:t>Véronique SERAIN</w:t>
      </w:r>
    </w:p>
    <w:p>
      <w:r>
        <w:t>Le président</w:t>
      </w:r>
    </w:p>
    <w:p>
      <w:r>
        <w:t>Philippe KNUPFER</w:t>
      </w:r>
    </w:p>
    <w:p>
      <w:r>
        <w:t>Une copie conforme de la présente ordonnance est notifiée aux parties le</w:t>
      </w:r>
    </w:p>
    <w:p>
      <w:r>
        <w:rPr>
          <w:b/>
        </w:rPr>
        <w:t>E. 12</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13</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14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15</w:t>
      </w:r>
    </w:p>
    <w:p>
      <w:r>
        <w:t>a. Pour pouvoir calculer le degré d’invalidité, l’administration (ou le juge, s’il y a eu un recours) a besoin de documents qu’un médecin, éventuellement d’autres spécialistes, doivent lui fournir. La tâche du médecin consiste à porter un jugement</w:t>
      </w:r>
    </w:p>
    <w:p>
      <w:r>
        <w:t>- 24/44-</w:t>
      </w:r>
    </w:p>
    <w:p>
      <w:r>
        <w:t>A/68/2019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- 25/44-</w:t>
      </w:r>
    </w:p>
    <w:p>
      <w:r>
        <w:t>A/68/2019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w:t>
      </w:r>
    </w:p>
    <w:p>
      <w:r>
        <w:t>- 26/44-</w:t>
      </w:r>
    </w:p>
    <w:p>
      <w:r>
        <w:t>A/68/2019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i. Les constatations médicales peuvent être complétées par des renseignements d’ordre professionnel, par exemple au terme d'un stage dans un centre d'observation professionnel de l'assurance-invalidité, en vue d'établir concrètement dans quelle</w:t>
      </w:r>
    </w:p>
    <w:p>
      <w:r>
        <w:t>- 27/44-</w:t>
      </w:r>
    </w:p>
    <w:p>
      <w:r>
        <w:t>A/68/2019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I 35/03 du 24 octobre 2003 consid. 4.3 et les références, in Plädoyer 2004/3 p. 64 ; arrêt du Tribunal fédéral 9C_512/2013 du 16 janvier 2014 consid. 5.2.1).</w:t>
      </w:r>
    </w:p>
    <w:p>
      <w:r>
        <w:rPr>
          <w:b/>
        </w:rPr>
        <w:t>E. 16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w:t>
      </w:r>
    </w:p>
    <w:p>
      <w:r>
        <w:t>- 28/44-</w:t>
      </w:r>
    </w:p>
    <w:p>
      <w:r>
        <w:t>A/68/2019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w:t>
      </w:r>
    </w:p>
    <w:p>
      <w:r>
        <w:t>- 29/44-</w:t>
      </w:r>
    </w:p>
    <w:p>
      <w:r>
        <w:t>A/68/2019 SVR 2010 IV n. 49 p. 151, consid. 3.5 ; arrêt du Tribunal fédéral 8C_760/2011 du 26 janvier 2012 consid. 3).</w:t>
      </w:r>
    </w:p>
    <w:p>
      <w:r>
        <w:rPr>
          <w:b/>
        </w:rPr>
        <w:t>E. 19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20</w:t>
      </w:r>
    </w:p>
    <w:p>
      <w:r>
        <w:t>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131 V 51 consid. 5.1.2 et 5.2, précisé par l’ATF 142 V 290 consid. 7 ; arrêt du Tribunal fédéral 9C_432/2016 du 10 février 2017 consid. 5.1). La limitation dans le domaine lucratif doit être prise en considération de façon proportionnelle – en fonction de l'étendue de l’hypothétique taux d’activité lucrative à temps partiel (consid. ATF 142 V 290 consid. 7).</w:t>
      </w:r>
    </w:p>
    <w:p>
      <w:r>
        <w:rPr>
          <w:b/>
        </w:rPr>
        <w:t>E. 21</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w:t>
      </w:r>
    </w:p>
    <w:p>
      <w:r>
        <w:t>- 30/44-</w:t>
      </w:r>
    </w:p>
    <w:p>
      <w:r>
        <w:t>A/68/2019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l’Enquête suisse sur la structure des salaires (ci-après : ESS) éditée par l'Office fédéral de la statistique (ci-après : l'OFS) (arrêt du Tribunal fédéral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w:t>
      </w:r>
    </w:p>
    <w:p>
      <w:r>
        <w:t>- 31/44-</w:t>
      </w:r>
    </w:p>
    <w:p>
      <w:r>
        <w:t>A/68/2019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 et l’ESS 2014, le 15 avril 2016. d.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t>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w:t>
      </w:r>
    </w:p>
    <w:p>
      <w:r>
        <w:t>- 32/44-</w:t>
      </w:r>
    </w:p>
    <w:p>
      <w:r>
        <w:t>A/68/2019 les références ; arrêt du Tribunal fédéral 8C_337/2009 du 18 février 2010 consid. 7.5).</w:t>
      </w:r>
    </w:p>
    <w:p>
      <w:r>
        <w:t>f. Depuis la 10e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t>g.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w:t>
      </w:r>
    </w:p>
    <w:p>
      <w:r>
        <w:t>- 33/44-</w:t>
      </w:r>
    </w:p>
    <w:p>
      <w:r>
        <w:t>A/68/2019 générale, disponibles indépendamment de l'âge de l'intéressé sur le marché équilibré du travail (arrêt du Tribunal fédéral 8C_227/2017 du 17 mai 2018 consid. 5 ;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w:t>
      </w:r>
    </w:p>
    <w:p>
      <w:r>
        <w:t>h.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 le travail à temps partiel peut en effet être synonyme d'une perte de salaire pour les travailleurs à temps partiel de sexe masculin (arrêt du Tribunal fédéral 8C_805/2016 du 22 mars 2017 consid. 3.2).</w:t>
      </w:r>
    </w:p>
    <w:p>
      <w:r>
        <w:t>i. Selon le tableau T 18 « Salaire mensuel brut (valeur centrale) selon le taux d'occupation, la position professionnelle et le sexe » de l'ESS 2014, on constate en effet que les travailleurs occupés entre 50% et 74% perçoivent un salaire mensuel de CHF 5'714.- (calculé sur la base d'un taux d'occupation de 100%), soit un salaire moins élevé que celui versé en cas d'emploi à temps plein (taux d'occupation de 90% ou plus), lequel se monte à CHF 6'069.-. Dans la mesure où les statistiques démontrent que les travailleurs occupés entre 50% et 74% reçoivent un salaire mensuel inférieur de 5,84% à celui versé aux hommes travaillant à temps plein (taux d'occupation de 90% ou plus), il se justifie de procéder à un abattement supplémentaire pour ce motif (arrêt du Tribunal fédéral 9C_10/2019 du 29 avril 2019 consid. 5.2.2).</w:t>
      </w:r>
    </w:p>
    <w:p>
      <w:r>
        <w:t>- 34/44-</w:t>
      </w:r>
    </w:p>
    <w:p>
      <w:r>
        <w:t>A/68/2019</w:t>
      </w:r>
    </w:p>
    <w:p>
      <w:r>
        <w:t>Une unilatéralité de fait ou une restriction de la main dominante peut justifier un abattement compris entre 20% et 25% (arrêts du Tribunal fédéral 9C_363/2017 du 22 juin 2018 consid. 4.3 et 9C_396/2014 du 15 avril 2015 consid. 5.2). j.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op. cit., consid. 3.4). k.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w:t>
      </w:r>
    </w:p>
    <w:p>
      <w:r>
        <w:t>- 35/44-</w:t>
      </w:r>
    </w:p>
    <w:p>
      <w:r>
        <w:t>A/68/2019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l.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 arrêt du Tribunal fédéral 8C_312/2016 du 13 mars 2017 consid. 5.4 ; arrêts du Tribunal fédéral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m.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t>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w:t>
      </w:r>
    </w:p>
    <w:p>
      <w:r>
        <w:t>- 36/44-</w:t>
      </w:r>
    </w:p>
    <w:p>
      <w:r>
        <w:t>A/68/2019</w:t>
      </w:r>
    </w:p>
    <w:p>
      <w:r>
        <w:t>n.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 ATF 119 V 475 consid. 2b ; ATF 114 V 313 consid. 3a ; arrêt du Tribunal fédéral 8C_312/2016 du 13 mars 2017 consid. 5.4.1).</w:t>
      </w:r>
    </w:p>
    <w:p>
      <w:r>
        <w:t>o.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 arrêt du Tribunal fédéral 8C_312/2016, op. cit., consid. 5.4.2).</w:t>
      </w:r>
    </w:p>
    <w:p>
      <w:r>
        <w:t>p.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t>- 37/44-</w:t>
      </w:r>
    </w:p>
    <w:p>
      <w:r>
        <w:t>A/68/2019</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I 376/05 du 5 août 2005 consid. 4.2), de même que pour un soudeur de 60 ans avec des limitations psychiques et physiques, notamment rhumatologiques et cardiaques, qui disposait d’une capacité de travail de 70% (arrêt du Tribunal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I 392/02 du 23 octobre 2003 consid. 3.3), ainsi que dans le cas d’un assuré de 64 ans capable de travailler à 50% avec de nombreuses limitations fonctionnelles (arrêt du Tribunal fédéral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22</w:t>
      </w:r>
    </w:p>
    <w:p>
      <w:r>
        <w:t>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w:t>
      </w:r>
    </w:p>
    <w:p>
      <w:r>
        <w:t>- 38/44-</w:t>
      </w:r>
    </w:p>
    <w:p>
      <w:r>
        <w:t>A/68/2019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 arrêt du Tribunal fédéral 9C_809/2017 du 27 mars 2018 consid. 5.2).</w:t>
      </w:r>
    </w:p>
    <w:p>
      <w:r>
        <w:rPr>
          <w:b/>
        </w:rPr>
        <w:t>E. 23</w:t>
      </w:r>
    </w:p>
    <w:p>
      <w:r>
        <w:t>a.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24</w:t>
      </w:r>
    </w:p>
    <w:p>
      <w:r>
        <w:t>Les frais qui découlent de la mise en œuvre d'une expertise judiciaire pluridisciplinaire confiée à un Centre d'observation médicale de l'assurance- invalidité (ci-après : COMAI) peuvent le cas échéant être mis à la charge de l'assurance-invalidité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w:t>
      </w:r>
    </w:p>
    <w:p>
      <w:r>
        <w:t>- 39/44-</w:t>
      </w:r>
    </w:p>
    <w:p>
      <w:r>
        <w:t>A/68/2019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 arrêt du Tribunal fédéral 8C_312/2016 du 13 mars 2017 consid. 6.3).</w:t>
      </w:r>
    </w:p>
    <w:p>
      <w:r>
        <w:rPr>
          <w:b/>
        </w:rPr>
        <w:t>E. 25</w:t>
      </w:r>
    </w:p>
    <w:p>
      <w:r>
        <w:t>En l’espèce, la présente ordonnance d’expertise psychiatrique fait suite à l’arrêt du Tribunal fédéral du 15 juin 2023, plus particulièrement les considérants 4.3.1 et 4.3.2 par lesquels le Tribunal fédéral a critiqué l’expertise psychiatrique de la Dre P______.</w:t>
      </w:r>
    </w:p>
    <w:p>
      <w:r>
        <w:t>- 40/44-</w:t>
      </w:r>
    </w:p>
    <w:p>
      <w:r>
        <w:t>A/68/2019 PAR CES MOTIFS, LA CHAMBRE DES ASSURANCES SOCIALES : Statuant préparatoirement I. Ordonne une expertise médicale de Monsieur A______. Commet à ces fins le professeur V______, spécialiste FMH en psychiatrie, avenue X______, à Genève. II. Dit que la mission d’expertise sera la suivante : A. Prendre connaissance du dossier de la cause, notamment l’arrêt du Tribunal fédéral du 15 juin 2023 déniant une valeur probante aux expertises des docteurs I______ et P______. B. Si nécessaire, prendre tous renseignements auprès des médecins ayant traité la personne expertisée, en particulier K______ (psychiatre), L______ (psychiatre), ainsi que les experts I______ (psychiatre) et P______ (psychiatre). C. Examiner et entendre la personne expertisée et si nécessaire, ordonner d'autres examens. D. Charge le Prof. V______, psychiatre,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