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ATAS/37/2009 vom 20. Januar 2009</w:t>
      </w:r>
    </w:p>
    <w:p>
      <w:r>
        <w:t>GE Cour de justice, 2009-01-20, FR</w:t>
      </w:r>
    </w:p>
    <w:p>
      <w:r>
        <w:rPr>
          <w:b/>
        </w:rPr>
        <w:t xml:space="preserve">Quelle: </w:t>
      </w:r>
      <w:r>
        <w:t>https://mcp.opencaselaw.ch/entscheid/ge_gerichte_ATAS_37_2009</w:t>
      </w:r>
    </w:p>
    <w:p>
      <w:r>
        <w:t>FR: GE_GERICHTE ATAS/37/2009 du 20 janvier 2009</w:t>
      </w:r>
    </w:p>
    <w:p>
      <w:r>
        <w:t>IT: GE_GERICHTE ATAS/37/2009 del 20 gennaio 2009</w:t>
      </w:r>
    </w:p>
    <w:p>
      <w:pPr>
        <w:pStyle w:val="Heading2"/>
      </w:pPr>
      <w:r>
        <w:t>Regeste</w:t>
      </w:r>
    </w:p>
    <w:p>
      <w:r>
        <w:t>Résumé: La recourante a été mise au bénéfice d'une réadaptation professionnelle dans le cadre de l'assurance-invalidité sous forme d'une nouvelle formation, accomplie avec succès. Or, c'est en l'occurrence le marché de l'emploi qui rend difficile de trouver un employeur et non son invalidité ou la fomation en tant que telle. Il faut en outre tenir compte du fait que le marché du travail en assurance-invalidité doit être considéré comme étant équilibré. Partant sa difficile plaçabilité n'est pas du ressort de l'assurance-invalidité.</w:t>
      </w:r>
    </w:p>
    <w:p>
      <w:pPr>
        <w:pStyle w:val="Heading2"/>
      </w:pPr>
      <w:r>
        <w:t>Erwägungen</w:t>
      </w:r>
    </w:p>
    <w:p>
      <w:r>
        <w:rPr>
          <w:b/>
        </w:rPr>
        <w:t>E. 7</w:t>
      </w:r>
    </w:p>
    <w:p>
      <w:r>
        <w:t>La loi fédérale du 16 décembre 2005 modifiant la LAI,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r>
        <w:t>A/207/2008 - 10/10 -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