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ATAS/379/2023 vom 30. Mai 2023</w:t>
      </w:r>
    </w:p>
    <w:p>
      <w:r>
        <w:t>GE Cour de justice, 2023-05-30, FR</w:t>
      </w:r>
    </w:p>
    <w:p>
      <w:r>
        <w:rPr>
          <w:b/>
        </w:rPr>
        <w:t xml:space="preserve">Quelle: </w:t>
      </w:r>
      <w:r>
        <w:t>https://mcp.opencaselaw.ch/entscheid/ge_gerichte_ATAS_379_2023</w:t>
      </w:r>
    </w:p>
    <w:p>
      <w:r>
        <w:t>FR: GE_GERICHTE ATAS/379/2023 du 30 mai 2023</w:t>
      </w:r>
    </w:p>
    <w:p>
      <w:r>
        <w:t>IT: GE_GERICHTE ATAS/379/2023 del 30 maggio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ainsi que la loi fédérale sur la partie générale du droit des assurances sociales du 6 octobre 2000 (LPGA - RS 830).</w:t>
      </w:r>
    </w:p>
    <w:p>
      <w:r>
        <w:t>A/2094/2022 - 5/7 -</w:t>
      </w:r>
    </w:p>
    <w:p>
      <w:r>
        <w:rPr>
          <w:b/>
        </w:rPr>
        <w:t>E. 3</w:t>
      </w:r>
    </w:p>
    <w:p>
      <w:r>
        <w:t>Déposé dans le délai de trente jours prévu par l’art. 62 al. 1 de la loi sur la procédure administrative du 12 septembre 1985 (LPA-GE - E 5 10) par renvoi de l’art. 89A LPA, et dans les formes prévues par l’art. 89B LPA, le recours est recevable.</w:t>
      </w:r>
    </w:p>
    <w:p>
      <w:r>
        <w:rPr>
          <w:b/>
        </w:rPr>
        <w:t>E. 4.1</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PCFam (art. 1 al. 2, 36A à 36I LPCC ; ATAS/1195/2020 du 3 décembre 2020 consid. 5b ; ATAS/802/2019 du</w:t>
      </w:r>
    </w:p>
    <w:p>
      <w:r>
        <w:rPr>
          <w:b/>
        </w:rPr>
        <w:t>E. 4.2</w:t>
      </w:r>
    </w:p>
    <w:p>
      <w:r>
        <w:t>Selon l'art. 36A al. 1 LPCC, ont droit aux PCFam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Pour bénéficier des prestations, le taux de l'activité lucrative mentionnée à l'art. 36A al. 1 let. c LPCC, doit être, par année, au minimum de 90 % lorsque le groupe familial comprend deux personnes adultes (art. 36A al. 4 let. b LPCC). Aux termes de l'art. 36B LPCC, le revenu minimum cantonal d'aide sociale garanti aux familles, destiné à la couverture des besoins vitaux, est basé sur le montant fixé à l'art. 3 al. 1 LPCC (al. 1). Ce montant est multiplié, selon le nombre de personnes comprises dans le groupe familial, par le coefficient prévu par la législation sur l'aide sociale individuelle et fixé par règlement du Conseil d'État (al. 2). En vertu de l'art. 36C LPCC – intitulé « exclusion du cumul et concours de droits » –, le droit à des PCF, au sens de la LPC, ou à des PCC, au sens du titre II</w:t>
      </w:r>
    </w:p>
    <w:p>
      <w:r>
        <w:t>A/2094/2022 - 6/7 - de la LPCC, ainsi que la renonciation à un tel droit, excluent le droit à des PCFam (al. 1). Sous réserve des situations prévues à l'al. 4, un seul et même enfant ne peut donner droit aux prestations que pour un seul groupe familial (al. 2). 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 Conformément à l'art. 36F LPCC, les dépenses reconnues sont celles énumérées par l'art. 10 LPC et ses dispositions d'exécution, à l'exclusion des montants suivants : le montant destiné à la couverture des besoins vitaux est remplacé par le montant destiné à garantir le revenu minimum cantonal d'aide sociale défini à l'art. 36B LPCC (let. a) ; le loyer ainsi que les charges sont fixés par règlement du Conseil d'Etat (let. b). 5. La recourante considère qu’elle ne doit verser aucun montant au titre de rétroactif pour les mois de février à avril 2022 et qu’un montant supérieur à CHF 280.- lui serait dû pour l’ensemble de la période de février à juin 2022. Elle se fonde sur les contributions d’entretien modifiées que son compagnon verse à ses deux enfants issues d’un autre lit et le montant des allocations familiales qui aurait été retenu à une hauteur erronée par l’intimé. Il ressort néanmoins de la décision sur opposition du 15 juin 2022 que l’intimé a précisément pris en compte le montant desdites contributions et a également corrigé celui des allocations familiales perçues, ce tant pour la période du mois de février au mois d’avril 2022, sur laquelle un rétroactif lui est réclamé, que pour la période postérieure de mai et juin 2022. Contrairement à ce qu’elle soulève, le SPC n’a donc pas omis de corriger les montants sur une période ou une autre. Par ailleurs, la recourante n’explique pas en quoi le calcul effectué sur la base des montants corrigés serait erroné. Il ne prête au demeurant pas le flanc à la critique. Enfin, elle n’invoque plus d’autre grief à l’encontre des éléments retenus par l’intimé, en particulier le revenu hypothétique qui lui était imputé. Qui plus est, la décision en restitution est intervenue en temps utile. 6. Le recours est donc rejeté, étant précisé que la demande de remise de l'obligation de restituer d'ores et déjà formulée par l'assurée fera l'objet d'un examen par le SPC qui statuera formellement sur ce point.</w:t>
      </w:r>
    </w:p>
    <w:p>
      <w:r>
        <w:t>A/2094/2022 - 7/7 - PAR CES MOTIFS, LA CHAMBRE DES ASSURANCES SOCIALES : Statuant À la forme :</w:t>
      </w:r>
    </w:p>
    <w:p>
      <w:r>
        <w:rPr>
          <w:b/>
        </w:rPr>
        <w:t>E. 9</w:t>
      </w:r>
    </w:p>
    <w:p>
      <w:r>
        <w:t>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