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ATAS/379/2017 vom 15. Mai 2017</w:t>
      </w:r>
    </w:p>
    <w:p>
      <w:r>
        <w:t>GE Cour de justice, 2017-05-15, FR</w:t>
      </w:r>
    </w:p>
    <w:p>
      <w:r>
        <w:rPr>
          <w:b/>
        </w:rPr>
        <w:t xml:space="preserve">Quelle: </w:t>
      </w:r>
      <w:r>
        <w:t>https://mcp.opencaselaw.ch/entscheid/ge_gerichte_ATAS_379_2017</w:t>
      </w:r>
    </w:p>
    <w:p>
      <w:r>
        <w:t>FR: GE_GERICHTE ATAS/379/2017 du 15 mai 2017</w:t>
      </w:r>
    </w:p>
    <w:p>
      <w:r>
        <w:t>IT: GE_GERICHTE ATAS/379/2017 del 15 maggio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LAA.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 recourante aux prestations de l'intimée et, plus particulièrement, sur la question de savoir si ses troubles à l'épaule gauche étaient</w:t>
      </w:r>
    </w:p>
    <w:p>
      <w:r>
        <w:t>A/1991/2014 - 15/22 - encore en lien de causalité avec l'accident survenu le 17 juillet 2013, au-delà du 30 septembre 2013.</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 Mobilière-accidents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d. Une fois que le lien de causalité naturelle a été établi au degré de la vraisemblance prépondérante, l’obligation de prester de La Mobilière cesse lorsque l'accident ne constitue pas (plus) la cause naturelle et adéquate du dommage, soit lorsque ce dernier résulte exclusivement de causes étrangères à l'accident. Tel est le</w:t>
      </w:r>
    </w:p>
    <w:p>
      <w:r>
        <w:t>A/1991/2014 - 16/22 -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e.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 Mobilière-accidents répond aussi des complications les plus singulières et les plus graves qui ne se produisent habituellement pas selon l'expérience médicale (ATF 118 V 286 consid. 3a et ATF 117 V 359 consid. 5d/bb; arrêt du Tribunal fédéral des assurances U.351/04 du 14 février 2006 consid. 3.2).</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A/1991/2014 - 17/22 - c.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7</w:t>
      </w:r>
    </w:p>
    <w:p>
      <w:r>
        <w:t>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t>A/1991/2014 - 18/22 -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 Mobilière-accidents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U.359/04 du 20 décembre 2005 consid. 2; U.389/04 du 27 octobre 2005 consid. 4.1 et U.222/04 du 30 novembre 2004 consid. 1.3).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I.751/03 du 19 mars 2004 consid. 3.3).</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En l'occurrence, la Mobilière estime que les troubles dont souffre la recourante à l'épaule gauche ne sont plus en lien de causalité naturelle depuis mi- septembre 2013 avec l'évènement du 17 juillet 2013. L'assurée conclut pour sa part au versement des prestations postérieurement au 30 septembre 2013 et au renvoi de la cause à la Mobilière pour décision sur son droit à une indemnité pour atteinte à l'intégrité (ci-après IPAI).</w:t>
      </w:r>
    </w:p>
    <w:p>
      <w:r>
        <w:t>A/1991/2014 - 19/22 - Il convient d'examiner en premier lieu la valeur probante des expertises des Drs K______ et L______. Ni la recourante, ni la Mobilière n'ont contesté la valeur probante de l'expertise du Dr L______, mais l'OAI l'a critiquée, dans ses observations du 15 août 2016, sur plusieurs points. Ces critiques n'apparaissent pas fondées. En effet, dans la mesure où le Dr L______ a répondu, dans l'ordre, aux questions qui lui étaient posées dans la mission d'expertise, en reprenant la même numérotation des questions, l'on ne peut considérer, comme le soutient l'OAI, que son rapport ne suit pas une structure logique en empêchant une compréhension satisfaisante. Les constatations objectives de l'examen clinique du 10 février 2016 figurent sur deux pages du rapport et rien ne remet en cause la validité des constats faits lors de cet examen. Si l'analyse du rapport de causalité par l'expert est relativement longue, puisqu'elle prend huit pages du rapport, cela s'explique par le fait que l'expert a examiné en détail la question, séparément pour chaque diagnostic posé, et qu'il a inséré dans sa discussion des éléments de théorie générale. L'expert a démontré ainsi avoir examiné avec soin la question. S'agissant de l'appréciation des différents avis médicaux, l'expert a repris des extraits des rapports de ses confrères en insérant ses propres commentaires. Cette façon de procéder peu synthétique ne facilite certes pas la lecture, mais ne l'empêche pas non plus et ne remet donc pas sérieusement en cause la valeur probante de l'expertise. L'OAI reproche encore à l'expert de s'être prononcé sur des atteintes ne relevant pas de sa discipline. Cette critique non motivée n'est pas assez précise pour remettre en cause le rapport d'expertise. Il apparaît au contraire que l'expert est resté dans son domaine de compétence, au vu de la motivation de son rapport. Il est reproché à l'expert de ne pas avoir expliqué ses conclusions, et en particulier, son constat que l'intensité et la durée des symptômes rencontrés chez l'assurée étaient plutôt rares et difficiles à expliquer du point de vue orthopédique. Il n’apparaît pas critiquable que l'expert ne détaille pas plus ce constat, qui est manifestement fondé sur son expérience de spécialiste dans le domaine. Il sera démontré ci-après que l'expert a suffisamment expliqué ses conclusions. L'OAI reproche encore à l'expert d'avoir évalué l'incapacité de travail dans l'activité d'aide-soignante « selon les faits écrits et dits » et non pas sur ses constatations personnelles. S'il est exact que pour évaluer la capacité de travail de l'assurée, l'expert s'est référé, sous ch. 44 de son complément d'expertise, « aux faits écrits et dits » l'expert a aussi précisé qu'il s'était fondé sur l'anamnèse et les certificats médicaux au dossier, qui attestaient de la persistance des symptômes. Il s'est également fondé sur ses propres constatations, faites lors de l'examen clinique auquel il a procédé le</w:t>
      </w:r>
    </w:p>
    <w:p>
      <w:r>
        <w:rPr>
          <w:b/>
        </w:rPr>
        <w:t>E. 10</w:t>
      </w:r>
    </w:p>
    <w:p>
      <w:r>
        <w:t>Celle-ci a conclu dans son recours à l'octroi d'une indemnité pour atteinte à l'intégrité (ci-après IPAI).</w:t>
      </w:r>
    </w:p>
    <w:p>
      <w:r>
        <w:rPr>
          <w:b/>
        </w:rPr>
        <w:t>E. 11</w:t>
      </w:r>
    </w:p>
    <w:p>
      <w:r>
        <w:t>Si, par suite d'un accident, l'assuré souffre d'une atteinte importante et durable à son intégrité physique, mentale ou psychique, il a droit à une indemnité équitable pour atteinte à l'intégrité (art. 24 al. 1 LAA). Selon l'art. 36 de l'ordonnance sur l'assurance-accidents du 20 décembre 1982 (OLAA), édicté conformément à cette délégation de compétence,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(al. 1). L'indemnité pour atteinte à l'intégrité est calculée selon les directives figurant à l'annexe 3 à l'ordonnance (al. 2).</w:t>
      </w:r>
    </w:p>
    <w:p>
      <w:r>
        <w:rPr>
          <w:b/>
        </w:rPr>
        <w:t>E. 12</w:t>
      </w:r>
    </w:p>
    <w:p>
      <w:r>
        <w:t>En l'espèce, les conditions d'octroi d'une indemnité pour atteinte à l'intégrité ne sont pas remplies, faute d'atteinte à l'intégrité durable.</w:t>
      </w:r>
    </w:p>
    <w:p>
      <w:r>
        <w:rPr>
          <w:b/>
        </w:rPr>
        <w:t>E. 13</w:t>
      </w:r>
    </w:p>
    <w:p>
      <w:r>
        <w:t>Au vu des considérations qui précèdent, le recours sera partiellement admis, la décision de l'intimée du 5 juin 2014 annulée et il sera dit que celle-ci devait continuer le versement de ses prestations à la recourante jusqu'au 31 janvier 2014.</w:t>
      </w:r>
    </w:p>
    <w:p>
      <w:r>
        <w:rPr>
          <w:b/>
        </w:rPr>
        <w:t>E. 14</w:t>
      </w:r>
    </w:p>
    <w:p>
      <w:r>
        <w:t>La recourante, qui est représentée et qui obtient partiellement gain de cause, a droit à une indemnité à titre de participation à ses frais et dépens qui sera fixée à CHF 3'000.- (art. 61 let. g LPGA; art. 89 H de la loi sur la procédure administrative du 12 septembre 1985 [LPA - E 5 10]; art. 6 du règlement sur les frais, émoluments et indemnités en procédure administrative du 30 juillet 1986 [RFPA - E 5 10.03]).</w:t>
      </w:r>
    </w:p>
    <w:p>
      <w:r>
        <w:rPr>
          <w:b/>
        </w:rPr>
        <w:t>E. 15</w:t>
      </w:r>
    </w:p>
    <w:p>
      <w:r>
        <w:t>Pour le surplus, la procédure est gratuite (art. 61 let. a LPGA).</w:t>
      </w:r>
    </w:p>
    <w:p>
      <w:r>
        <w:t>A/1991/2014 - 22/22 -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