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ATAS/379/2015 vom 26. Mai 2015</w:t>
      </w:r>
    </w:p>
    <w:p>
      <w:r>
        <w:t>GE Cour de justice, 2015-05-26, FR</w:t>
      </w:r>
    </w:p>
    <w:p>
      <w:r>
        <w:rPr>
          <w:b/>
        </w:rPr>
        <w:t xml:space="preserve">Quelle: </w:t>
      </w:r>
      <w:r>
        <w:t>https://mcp.opencaselaw.ch/entscheid/ge_gerichte_ATAS_379_2015</w:t>
      </w:r>
    </w:p>
    <w:p>
      <w:r>
        <w:t>FR: GE_GERICHTE ATAS/379/2015 du 26 mai 2015</w:t>
      </w:r>
    </w:p>
    <w:p>
      <w:r>
        <w:t>IT: GE_GERICHTE ATAS/379/2015 del 26 maggio 2015</w:t>
      </w:r>
    </w:p>
    <w:p>
      <w:pPr>
        <w:pStyle w:val="Heading2"/>
      </w:pPr>
      <w:r>
        <w:t>Erwägungen</w:t>
      </w:r>
    </w:p>
    <w:p>
      <w:r>
        <w:rPr>
          <w:b/>
        </w:rPr>
        <w:t>E. 1</w:t>
      </w:r>
    </w:p>
    <w:p>
      <w:r>
        <w:t>Conformément à l'art. 134 al. 1 let. a ch. 5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janvier inclusivement (art. 38 al. 4 let. c LPGA), le recours du 28 janvier 2015 contre la décision du 23 décembre 2014, interjeté dans la forme prévue par la loi, est recevable (art. 56 et 60 LPGA ; art. 89B de la loi sur la procédure administrative du 12 septembre 1985 – LPA; RS/GE E 5 10).</w:t>
      </w:r>
    </w:p>
    <w:p>
      <w:r>
        <w:rPr>
          <w:b/>
        </w:rPr>
        <w:t>E. 3</w:t>
      </w:r>
    </w:p>
    <w:p>
      <w:r>
        <w:t>Le litige porte uniquement sur le point de savoir si l’intimée a omis de tenir équitablement compte des aggravations prévisibles, dans la fixation de l’indemnité pour atteinte à l’intégrité. Il est en effet rappelé que la chambre de céans a confirmé l’évaluation effectuée par l’intimée en ce qui concerne l’atteinte actuelle.</w:t>
      </w:r>
    </w:p>
    <w:p>
      <w:r>
        <w:rPr>
          <w:b/>
        </w:rPr>
        <w:t>E. 4</w:t>
      </w:r>
    </w:p>
    <w:p>
      <w:r>
        <w:t>a. Aux termes de l’art. 24 al.1 LAA, si par suite d’un accident, l’assuré souffre d’une atteinte importante et durable à son intégrité physique, mentale ou psychique, il a droit à une indemnité équitable pour atteinte à l’intégrité.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w:t>
      </w:r>
    </w:p>
    <w:p>
      <w:r>
        <w:t>A/285/2015 - 7/12 -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5</w:t>
      </w:r>
    </w:p>
    <w:p>
      <w:r>
        <w:t>a. Depuis le 1er janvier 2008, le montant maximum du gain assuré s’élève à CHF 126'000.- par an et CHF 346.- par jour (art. 22 al. 1 de l’ordonnance sur l'assurance-accidents du 20 décembre 1982 [OLAA - RS 832.202]). A teneur de l’art. 36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b.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w:t>
      </w:r>
    </w:p>
    <w:p>
      <w:r>
        <w:rPr>
          <w:b/>
        </w:rPr>
        <w:t>E. 6</w:t>
      </w:r>
    </w:p>
    <w:p>
      <w:r>
        <w:t>a.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(ch.1 al. 2 1ère phrase). Les atteintes à l’intégrité pour lesquelles un taux inférieur à 5% serait appliqué selon le barème ne donnent droit à aucune indemnité</w:t>
      </w:r>
    </w:p>
    <w:p>
      <w:r>
        <w:t>A/285/2015 - 8/12 - (ch. 1 al. 3). Il faut en conclure qu’une atteinte est réputée importante si elle atteint au moins ce pourcentage (Thomas FREI et Juerg P. BLEUER, Évaluation d’atteintes à l’intégrité multiples, in SUVA Medical 2012, p. 202).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table 5.2, le taux d'atteinte à l'intégrité pour une arthrose femoro-patellaire est de 5 à 10% si l'arthrose est moyenne et de 10 à 25% si elle est grave.</w:t>
      </w:r>
    </w:p>
    <w:p>
      <w:r>
        <w:rPr>
          <w:b/>
        </w:rPr>
        <w:t>E. 7</w:t>
      </w:r>
    </w:p>
    <w:p>
      <w:r>
        <w:t>a. Aux termes de l'art. 36 al. 4 OLAA, il sera équitablement tenu compte des aggravations prévisibles de l'atteinte à l'intégrité. Une révision n'est possible qu'en cas exceptionnel si l'aggravation est importante et n'était pas prévisible. b.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w:t>
      </w:r>
    </w:p>
    <w:p>
      <w:r>
        <w:t>A/285/2015 - 9/12 - peut être prise en considération » (arrêt du Tribunal fédéral des assurances U 173/00 du 22 septembre 2000 consid. 2). A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w:t>
      </w:r>
    </w:p>
    <w:p>
      <w:r>
        <w:rPr>
          <w:b/>
        </w:rPr>
        <w:t>E. 12</w:t>
      </w:r>
    </w:p>
    <w:p>
      <w:r>
        <w:t>Force est donc de conclure que la décision litigieuse ne tient à nouveau pas compte de l'aggravation prévisible de l'atteinte à l'intégrité. Etant rappelé que l'importance prévisible de l'atteinte doit être fixée sur la base des constatations du médecin, lors de l'évaluation initiale de l'atteinte à l'intégrité, il s’avère indispensable de renvoyer à nouveau le dossier à l’intimée pour que cette question soit tranchée à satisfaction. Il lui appartiendra de requérir également l’avis du médecin traitant du recourant, lequel a régulièrement évoqué l’existence d’un dommage permanent, et de rendre une nouvelle décision sujette à opposition.</w:t>
      </w:r>
    </w:p>
    <w:p>
      <w:r>
        <w:rPr>
          <w:b/>
        </w:rPr>
        <w:t>E. 13</w:t>
      </w:r>
    </w:p>
    <w:p>
      <w:r>
        <w:t>Au vu de ce qui précède, le recours est partiellement admis et la décision sur opposition du 23 décembre 2014 annulée. La cause est renvoyée à l’intimée pour instruction complémentaire et nouvelle décision dans le sens des considérants.</w:t>
      </w:r>
    </w:p>
    <w:p>
      <w:r>
        <w:rPr>
          <w:b/>
        </w:rPr>
        <w:t>E. 14</w:t>
      </w:r>
    </w:p>
    <w:p>
      <w:r>
        <w:t>Une indemnité de CHF 750.- est accordée au recourant, représenté par un mandataire, qui obtient partiellement gain de cause. Pour le surplus, la procédure est gratuite (art. 61 let. a LPGA ; art 89H LPA).</w:t>
      </w:r>
    </w:p>
    <w:p>
      <w:r>
        <w:t>A/285/2015 - 12/12 -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