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ATAS/379/2010 vom 15. April 2010</w:t>
      </w:r>
    </w:p>
    <w:p>
      <w:r>
        <w:t>GE Cour de justice, 2010-04-15, FR</w:t>
      </w:r>
    </w:p>
    <w:p>
      <w:r>
        <w:rPr>
          <w:b/>
        </w:rPr>
        <w:t xml:space="preserve">Quelle: </w:t>
      </w:r>
      <w:r>
        <w:t>https://mcp.opencaselaw.ch/entscheid/ge_gerichte_ATAS_379_2010</w:t>
      </w:r>
    </w:p>
    <w:p>
      <w:r>
        <w:t>FR: GE_GERICHTE ATAS/379/2010 du 15 avril 2010</w:t>
      </w:r>
    </w:p>
    <w:p>
      <w:r>
        <w:t>IT: GE_GERICHTE ATAS/379/2010 del 15 aprile 2010</w:t>
      </w:r>
    </w:p>
    <w:p>
      <w:pPr>
        <w:pStyle w:val="Heading2"/>
      </w:pPr>
      <w:r>
        <w:t>Erwägungen</w:t>
      </w:r>
    </w:p>
    <w:p>
      <w:r>
        <w:rPr>
          <w:b/>
        </w:rPr>
        <w:t>E. 1</w:t>
      </w:r>
    </w:p>
    <w:p>
      <w:r>
        <w:t>Conformément à l’art. 56V al. 1er let. a ch. 2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qui sont relatives à la loi fédérale du 19 juin 1959 sur l’assurance-invalidité (LAI ; RS 831.20). Sa compétence pour juger du cas d’espèce est ainsi établie.</w:t>
      </w:r>
    </w:p>
    <w:p>
      <w:r>
        <w:rPr>
          <w:b/>
        </w:rPr>
        <w:t>E. 2</w:t>
      </w:r>
    </w:p>
    <w:p>
      <w:r>
        <w:t>La LPGA, entrée en vigueur le 1er janvier 2003, est applicable à la présente procé- dure. Sur le plan matériel, le point de savoir quel droit s’applique doit être tranché à la lumière du principe selon lequel les règles applicables sont celles en vigueur au moment où les faits juridiquement déterminants se sont produits (ATF 130 V 230 consid. 1.1, 129 V 4 consid. 1.2, 127 V 467 consid. 1, 126 V 136 consid. 4b et les références citées).</w:t>
      </w:r>
    </w:p>
    <w:p>
      <w:r>
        <w:t>A/1746/2009 - 12/19 -</w:t>
      </w:r>
    </w:p>
    <w:p>
      <w:r>
        <w:rPr>
          <w:b/>
        </w:rPr>
        <w:t>E. 3</w:t>
      </w:r>
    </w:p>
    <w:p>
      <w:r>
        <w:t>Interjeté dans les forme et délai prévus par la loi (art. 38 et 56 ss LPGA), le recours déposé au bureau de poste le 19 mai 2009 conformément à l’art. 39 al. 1er LPGA est recevable.</w:t>
      </w:r>
    </w:p>
    <w:p>
      <w:r>
        <w:rPr>
          <w:b/>
        </w:rPr>
        <w:t>E. 4</w:t>
      </w:r>
    </w:p>
    <w:p>
      <w:r>
        <w:t>Le litige porte sur la question de savoir si la recourante doit se voir reconnaître un droit aux prestations de l’assurance-invalidité.</w:t>
      </w:r>
    </w:p>
    <w:p>
      <w:r>
        <w:rPr>
          <w:b/>
        </w:rPr>
        <w:t>E. 5</w:t>
      </w:r>
    </w:p>
    <w:p>
      <w:r>
        <w:t>Préalablement, il convient cependant d’examiner l’opportunité du complément d’instruction requis.</w:t>
      </w:r>
    </w:p>
    <w:p>
      <w:r>
        <w:rPr>
          <w:b/>
        </w:rPr>
        <w:t>E. 6</w:t>
      </w:r>
    </w:p>
    <w:p>
      <w:r>
        <w:t>Conformément à l’art. 43 LPGA, l’assureur (ou l’administration) examine les de- mandes, prend d’office les mesures d’instruction nécessaires et recueille les rensei- gnements dont il a besoin. Les renseignements donnés oralement doivent être consi- gnés par écrit (al. 1er). L’assuré doit se soumettre à des examens médicaux ou tech- niques si ceux-ci sont nécessaires à l’appréciation du cas et qu’ils peuvent être rai- sonnablement exigés (al. 2). Si l’assuré ou d’autres requérants refusent de manière inexcusable de se conformer à leur obligation de renseigner ou de collaborer à l’ins- truction, l’assureur (ou l’administration) peut se prononcer en l’état du dossier ou clore l’instruction et décider de ne pas entrer en matière. Il doit leur avoir adressé une mise en demeure écrite les avertissant des conséquences juridiques et leur im- partissant un délai de réflexion convenable (al. 3).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du 6 juillet 2007 non publié au Recueil officiel, U 316/2006, consid. 3.1.1). Le juge est également soumis à la maxime inquisitoire en vertu de l’art. 61 let. c LPGA, lequel prévoit que le tribunal établit avec la collaboration des parties les faits déterminants pour la solution du litige, administre les preuves nécessaires et les apprécie librement. Il apparaît ainsi que la portée de la maxime inquisitoire est restreinte par le devoir des parties de collaborer à l’instruction de l’affaire. Ce devoir comprend en particu- lier l’obligation des parties d’apporter, dans la mesure où cela peut être raisonna- blement exigé d’elles, les preuves commandées par la nature du litige et des faits invoqués, faute de quoi elles risquent de devoir supporter les conséquences de l’ab- sence de preuves (ATF 125 V 195 consid. 2 et les références ; cf. ATF 130 I 183 consid. 3.2).</w:t>
      </w:r>
    </w:p>
    <w:p>
      <w:r>
        <w:t>A/1746/2009 - 13/19 -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 putée à son adverse partie (ATF 124 V 375 consid. 3). Au demeurant, il n’existe pas, en droit des assurances sociales, un principe selon lequel l’administration ou le juge devrait statuer, dans le doute, en faveur de l’assuré (ATF 126 V 322, consid. 5a). De plus, si l’administration ou le juge, se fondant sur une appréciation conscien- 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En l’espèce, suite à la décision qu’il a rendue le 13 juillet 2007, l’OAI a notamment complété l’instruction menée jusque là en recueillant l’avis des médecins traitants de l’assurée et en mandatant la CRR aux fins de réaliser une expertise multidisci- plinaire. À cette occasion, il est apparu, comme le relève à juste titre la recourante, qu’il n’est pas exclu que les douleurs thoraciques dont elle se plaint soient dues à une lé- sion coronarienne significative, et que seule une coronarographie de contrôle per- mettrait d’en avoir le cœur net. Force est cependant de constater que les experts se sont accordés à considérer que, s’agissant d’une mesure de nature invasive, un tel examen ne pouvait être exigé. Il apparaît en outre, au vu des nombreux documents médicaux mis à la disposition du Tribunal, que d’autres mesures probatoires ne pourraient modifier son apprécia- tion, de sorte qu’il est superflu de solliciter la réalisation d’une expertise supplé- mentaire. La requête de la recourante tendant au renvoi de la cause à l’OAI pour complément d’instruction doit par conséquent être rejetée.</w:t>
      </w:r>
    </w:p>
    <w:p>
      <w:r>
        <w:rPr>
          <w:b/>
        </w:rPr>
        <w:t>E. 7</w:t>
      </w:r>
    </w:p>
    <w:p>
      <w:r>
        <w:t>Pour pouvoir calculer le degré d’invalidité, l’administration (ou le juge, s’il y a eu un recours) a besoin de documents que le médecin, éventuellement aussi d’autres spécialistes, doivent lui fournir. La tâche du médecin consiste en effet à porter un jugement sur l’état de santé et à indiquer dans quelle mesure et pour quelles activi- tés l’assuré est incapable de travailler. En outre, les données médicales constituent un élément utile pour déterminer quels travaux on peut encore, raisonnablement,</w:t>
      </w:r>
    </w:p>
    <w:p>
      <w:r>
        <w:t>A/1746/2009 - 14/19 - exiger de l’assuré (ATF 125 V 256 consid. 4, 115 V 134 consid. 2, 114 V 314 consid. 3c, 105 V 158 consid. 1). Selon le principe de libre appréciation des preuves déjà évoqué, le juge n’est pas lié par des règles formelles, mais doit examiner de manière objective tous les moyens de preuve, quelle qu’en soit la provenance, puis décider si les documents à disposi- tion permettent de porter un jugement valable sur le droit litigieux. En cas de rap- ports médicaux contradictoires, le juge ne peut trancher l’affaire sans apprécier l’ensemble des preuves et sans indiquer les raisons pour lesquelles il se fonde sur une opinion médicale et non pas sur une autre. L’élément déterminant pour la va- 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351 consid. 3). En particulier, s’agissant des rapports établis par les médecins traitants, le juge peut et doit tenir compte du fait que, selon l’expérience, le médecin traitant est généra- lement enclin, en cas de doute, à prendre parti pour son patient en raison de la rela- tion de confiance qui l’unit à lui (ATF 125 précité, consid. 3b/bb et cc). Relevons encore que pour évaluer l’invalidité des assurés travaillant dans le mé- nage au sens de l’art. 5 LAI, l’administration procède, conformément à l’art. 27 RAI, à une enquête sur les activités ménagères et fixe l’empêchement dans chacune des activités habituelles en se référant au supplément 1 aux directives concernant l’invalidité et l’impotence de l’Office fédéral des assurances sociales. Aux conditions posées par la jurisprudence (ATF 128 V 93), l’enquête sur les acti- vités ménagères à laquelle procède l’administration a pleine valeur probante (ATFA non publié du 10 juin 2003, I 151/03). Quand les troubles constatés sont d’origine exclusivement somatique, la fixation de l’invalidité dans les travaux habituels ne saurait en principe reposer sur une évaluation médico-théorique. Le facteur déter- minant pour évaluer l’invalidité des assurés n’exerçant pas d’activité lucrative consiste en effet dans l’empêchement d’accomplir les travaux habituels, lequel est déterminé compte tenu des circonstances concrètes du cas particulier ; c’est pour- quoi il n’existe pas de principe selon lequel l’évaluation médicale de la capacité de travail l’emporte d’une manière générale sur les résultats de l’enquête ménagère. Ce n’est dès lors qu’à titre exceptionnel, singulièrement lorsque les déclarations de l’assuré ne concordent pas avec les constatations faites sur le plan médical, qu’il y a</w:t>
      </w:r>
    </w:p>
    <w:p>
      <w:r>
        <w:t>A/1746/2009 - 15/19 - lieu de faire procéder par un médecin à une nouvelle estimation des empêchements rencontrés dans les activités habituelles (VSI 2001, p. 158, consid. 3c ; ATFA non publiés du 6 septembre 2004, I 249/04, consid. 5.1.1 et du 26 juillet 2004, I 155/04, consid. 3.2).</w:t>
      </w:r>
    </w:p>
    <w:p>
      <w:r>
        <w:rPr>
          <w:b/>
        </w:rPr>
        <w:t>E. 8</w:t>
      </w:r>
    </w:p>
    <w:p>
      <w:r>
        <w:t>En l’espèce, l’expertise conduite à l’automne 2008 par les docteurs M__________, N__________, O__________, P__________ et Q__________ se fonde sur des examens cliniques étendus et sur une riche anamnèse ; les plaintes exprimées par la recourante lors des consultations ont été dûment prises en considération. Les conclusions des experts, formulées individuellement puis au terme d’un consensus, sont en outre motivées à satisfaction de droit, de sorte que le rapport d’expertise dressé par la CRR doit se voir reconnaître pleine valeur probante. Il en va de même du rapport d’examen bi-disciplinaire remis en septembre 2005 par les docteurs E__________ et F__________, qui comprend en particulier une appré- ciation consensuelle détaillée du cas, et du rapport remis par le docteur G__________ en juin 2006 pour ce qui concerne l’évaluation cardiologique de l’état de santé de la recourante. En revanche, l’avis du docteur A___________, dans la mesure où il n’apparaît pas aussi approfondi et motivé que les rapports mentionnés plus haut, ne saurait se voir accorder une force probante similaire, d’autant qu’il y a lieu de tenir compte du fait qu’en sa qualité de médecin traitant de la recourante, ce praticien a tissé une rela- tion de confiance étroite avec celle-ci, susceptible d’influencer sensiblement le contenu de ses propos, comme semble l’attester le fait que ce praticien s’est généra- lement borné à relayer les plaintes de sa patiente pour motiver ses appréciations. Il en va de même des avis exprimés par le docteur L__________, qui ne présentent pas les garanties requises. En particulier, cette praticienne n’a jamais précisé en quoi les constatations essentiellement subjectives qu’elle avait recueillies devaient avoir pour conséquence, pour la recourante, une incapacité totale d’exercer quelque activité que ce soit. Quant aux rapports établis au cours de l’instruction par les docteurs B__________, C__________, D__________, I__________, J__________ et K__________, ils n’avaient pas vocation à fournir une appréciation de la capacité de gain de la recou- rante et ne constituent que le résultat des examens spécialisés conduits par ces pra- ticiens à des fins exclusivement diagnostiques.</w:t>
      </w:r>
    </w:p>
    <w:p>
      <w:r>
        <w:rPr>
          <w:b/>
        </w:rPr>
        <w:t>E. 9</w:t>
      </w:r>
    </w:p>
    <w:p>
      <w:r>
        <w:t>Sur le fond, l’art. 28 al. 2 LAI (dont le contenu est le même que celui de l’ancien art. 28 al. 1er LAI [aLAI]) dispose que l’assuré a droit à une rente entière s’il est in- valide à 70% au moins, à trois quarts de rente s’il est invalide à 60% au moins, à une demi-rente s’il est invalide à 50% au moins ou à un quart de rente s’il est inva- lide à 40% au moins.</w:t>
      </w:r>
    </w:p>
    <w:p>
      <w:r>
        <w:t>A/1746/2009 - 16/19 - Est réputée invalidité, l’incapacité de gain totale ou partielle présumée permanente ou de longue durée, résultant d’une infirmité congénitale, d’une maladie ou d’un accident (art. 8 al. 1er LPGA et 4 al. 1er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(voir l’art. 7 al. 1er et al. 2, 1ère phrase LPGA, dans sa teneur en vigueur de- puis le 1er janvier 2008). La notion d’invalidité, au sens du droit des assurances sociales, est donc une notion économique et non médicale ; ce sont les conséquences économiques objectives de l’incapacité fonctionnelle qu’il importe d’évaluer (voir ATF 110 V 275 consid. 4a, 105 V 207 consid. 2). Les atteintes à la santé psychique peuvent, comme les atteintes physiques, entraîner une invalidité au sens de l’art. 4 al. 1er LAI en liaison avec l’art. 8 LPGA. À cet égard, le Tribunal fédéral des assurances a, dans un arrêt du 5 octobre 2001 (ATF 127 V 294), précisé sa jurisprudence en ce sens que les facteurs psychoso- ciaux ou socioculturels ne figurent pas au nombre des atteintes à la santé suscepti- bles d’entraîner une invalidité au sens de la loi. Pour qu’une invalidité soit recon- 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 rable au sens médical ou un état psychique assimilable, et non une simple humeur dépressive. Une telle atteinte psychique, qui doit être distinguée des facteurs socio- culturels, et qui doit de manière autonome influencer la capacité de travail, est né- 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Enfin, il y a lieu de rappeler que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notam- ment la discordance entre les douleurs décrites et le comportement observé,</w:t>
      </w:r>
    </w:p>
    <w:p>
      <w:r>
        <w:t>A/1746/2009 - 17/19 - l’allégation d’intenses douleurs dont les caractéristiques demeurent vagues, les grandes divergences entre les informations fournies par le patient et celles ressor- tant de l’anamnèse et le fait que des plaintes très démonstratives laissent insensible l’expert (voir KOPP/WILLI/KLIPSTEIN, Im Graubereich zwischen Körper, Psy- che und sozialen Schwierigkeiten, in : Schweizerische Medizinische Wochenschrift 1997, p. 1434, avec référence à une étude approfondie de WINCKLER et FOERSTER ; voir sur l’ensemble du sujet ATF 131 V 49).</w:t>
      </w:r>
    </w:p>
    <w:p>
      <w:r>
        <w:rPr>
          <w:b/>
        </w:rPr>
        <w:t>E. 10</w:t>
      </w:r>
    </w:p>
    <w:p>
      <w:r>
        <w:t>En l’espèce, il a été établi, au degré de la vraisemblance prépondérante exigé en la matière, que la recourante présente une thymie globalement abaissée, une attitude morose voire pessimiste, une anhédonie et une fatigabilité qui expriment un trouble anxieux et dépressif, d’intensité légère à moyenne, à replacer dans un contexte pa- tent de difficultés liées à l’acculturation. Une psychopathologie majeure ou un état de stress post-traumatique ont en revanche été exclus. Au vu des principes rappelés plus haut, il convient de faire prévaloir l’avis médical selon lequel, sur le plan psychiatrique, les troubles constatés n’ont pas un caractère invalidant et, partant, n’ont pas d’incidence sur la capacité de travail de la recou- rante. Sur le plan somatique, il n’est pas contesté que la recourante présente des lombal- gies communes et une gonarthrose droite débutante qui lui commandent de changer de position une à deux fois par heure et qui proscrivent les positions en porte-à-faux du tronc, la position maintenue à genoux et le port de charges excédant 10 kg. De même, il n’est pas contesté qu’elle ne présente pas de troubles neurologiques objec- tivables, susceptibles d’entraîner d’autres limitations fonctionnelles. Sur le plan cardiologique, il a par ailleurs été établi à satisfaction de droit que l’infarctus dont la recourante a été victime en 2004 n’a pas entraîné d’altération si- gnificative de la fonction ventriculaire gauche et que, partant, une insuffisance car- diaque peut raisonnablement être écartée. Pour ce qui est des douleurs thoraciques dont elle se plaint, les investigations raisonnablement exigibles qui ont été effec- tuées n’ont pas permis de les objectiver et, ainsi qu’il a déjà été dit, l’on ne saurait exiger de la recourante qu’elle se soumette aux mesures invasives qui le permet- traient. Cela étant, il a été établi que, dans l’hypothèse où la recourante présenterait effectivement une lésion coronarienne significative, une angioplastie serait réalisée qui n’aurait, en toute hypothèse, pas d’incidence sur sa capacité de travail dans une « activité idéalement adaptée », telle qu’une activité de manutention légère. À cela s’ajoute que nombre de praticiens consultés ont relevé le caractère sous- maximal des efforts réalisés par la recourante au cours des examens, la discordance importante qui apparaissait entre les plaintes qu’elle formulait et les résultats objec- tifs recueillis, ou entre les mouvements qu’elle accomplissait spontanément et ceux qu’elle réalisait en situation d’examen, ou encore l’expression de sa certitude de ne</w:t>
      </w:r>
    </w:p>
    <w:p>
      <w:r>
        <w:t>A/1746/2009 - 18/19 - pas pouvoir exercer une activité professionnelle en raison de son manque de forma- tion. En conséquence, il s’impose de considérer que la synthèse proposée par le SMR, selon laquelle la capacité de gain de la recourante est de 50% dans l’activité exercée précédemment, ou de 100% dans une activité adaptée qu’elle n’exercerait, selon toute vraisemblance - puisque tel avait été son choix avant l’apparition des douleurs dont elle se plaint - qu’à raison de quinze heures par semaine, est conforme aux éléments recueillis au cours de l’instruction. Pour le surplus, conformément aux principes rappelés plus haut, les déclarations faites par l’assurée au cours de l’enquête ménagère, en décembre 2006, ne concor- dant pas avec les constatations faites à la même époque sur le plan médical, il y avait bien lieu de se référer, à titre exceptionnel, à l’estimation médico-théorique de sa capacité d’accomplir des travaux domestiques. C’est donc à bon droit que l’intimé a retenu, sur la base de l’expertise multidisciplinaire, un degré d’invalidité de 20% dans ce cadre. En résumé, il a été établi à satisfaction de droit que la recourante est en mesure d’exercer à temps partiel - soit au taux de 36.59% (15 ÷ 41) - une activité lucrative adaptée à ses limitations fonctionnelles et pour le reste (63.41%), d’effectuer des tâches ménagères pour lesquelles lesdites limitations correspondent à une invalidité de 20%. Le degré d’invalidité global de la recourante s’établit par conséquent à 12.7% (20% de 63.41%), arrondi à 13%, ce qui n’ouvre pas droit au versement d’une rente d’invalidité. Au vu de ce qui précède, force est de constater que c’est à bon droit que l’OAI a nié le droit de la recourante au versement d’une telle rente. Mal fondé, le recours devra être rejeté.</w:t>
      </w:r>
    </w:p>
    <w:p>
      <w:r>
        <w:rPr>
          <w:b/>
        </w:rPr>
        <w:t>E. 11</w:t>
      </w:r>
    </w:p>
    <w:p>
      <w:r>
        <w:t>L’art. 69 al. 1bis LAI, entré en vigueur le 1er juillet 2006, prévoit qu’en dérogation à l’art. 61 let. a LPGA, la procédure de recours en matière de contestations portant sur l’octroi ou le refus de prestations de l’AI devant le tribunal cantonal des assu- rances est soumise à des frais de justice. Le montant des frais est fixé en fonction de la charge liée à la procédure, indépendamment de la valeur litigieuse, et doit se si- tuer entre 200 et 1'000 fr. L’émolument, arrêté à 200 fr., sera mis à la charge de la recourante, qui succombe.</w:t>
      </w:r>
    </w:p>
    <w:p>
      <w:r>
        <w:t>A/1746/2009 - 19/19 -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