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ATAS/378/2017 vom 15. Mai 2017</w:t>
      </w:r>
    </w:p>
    <w:p>
      <w:r>
        <w:t>GE Cour de justice, 2017-05-15, FR</w:t>
      </w:r>
    </w:p>
    <w:p>
      <w:r>
        <w:rPr>
          <w:b/>
        </w:rPr>
        <w:t xml:space="preserve">Quelle: </w:t>
      </w:r>
      <w:r>
        <w:t>https://mcp.opencaselaw.ch/entscheid/ge_gerichte_ATAS_378_2017</w:t>
      </w:r>
    </w:p>
    <w:p>
      <w:r>
        <w:t>FR: GE_GERICHTE ATAS/378/2017 du 15 mai 2017</w:t>
      </w:r>
    </w:p>
    <w:p>
      <w:r>
        <w:t>IT: GE_GERICHTE ATAS/378/2017 del 15 maggio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A/3312/2014 - 14/27 -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l'assurée à une rente d'invalidité et à des mesures de réadaptation.</w:t>
      </w:r>
    </w:p>
    <w:p>
      <w:r>
        <w:rPr>
          <w:b/>
        </w:rPr>
        <w:t>E. 5</w:t>
      </w:r>
    </w:p>
    <w:p>
      <w:r>
        <w:t>Dans un premier grief formel, la recourante invoque une violation de son droit d'être entendue, du fait qu'elle n'avait pas eu suffisamment de temps pour examiner le rapport du Dr J______, reçu le 23 septembre 2014, alors que le délai pour faire part de ses observations à l'OAI arrivait à échéance le 29 septembre 2014, délai que l'intimé avait refusé de prolonger.</w:t>
      </w:r>
    </w:p>
    <w:p>
      <w:r>
        <w:rPr>
          <w:b/>
        </w:rPr>
        <w:t>E. 6</w:t>
      </w:r>
    </w:p>
    <w:p>
      <w:r>
        <w:t>Tel que garanti par l'art. 29 al. 2 Cst., le droit d'être entendu comprend, notamment, le droit pour l'intéressé de prendre connaissance du dossier (ATF 126 I 7 consid. 2b p. 10;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132 II 485 consid. 3.2 p. 494; 127 I 54 consid. 2b p. 56).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w:t>
      </w:r>
    </w:p>
    <w:p>
      <w:r>
        <w:rPr>
          <w:b/>
        </w:rPr>
        <w:t>E. 7</w:t>
      </w:r>
    </w:p>
    <w:p>
      <w:r>
        <w:t>En l'espèce, l'OAI a, à la demande de l'assurée, prolongé d'un mois le délai pour faire ses observations après avoir adressé à son médecin traitant le rapport d'expertise du Dr J______ qu'elle avait omis de lui transmettre avec son dossier AI. Il a ainsi respecté son droit d'être entendue. L'assurée invoque qu'elle n'a pu faire ses observations en temps utile, car son médecin-traitant était en vacances. Elle n'a toutefois requis une prolongation du délai pour faire ses observations que le 25 septembre 2014, soit peu de jours avant l'échéance du délai, qui courait depuis la fin du mois d'août 2014, et ne s'est pas prévalue du fait que son médecin n'était pas remplacé en son absence. En outre, elle a eu effectivement connaissance de l'expertise le 23 septembre, ce qui lui laissait encore suffisamment de temps pour faire ses observations. Il est douteux, dans ces circonstances qu'elle puisse se prévaloir de son droit d'être entendu, sans commettre un abus de droit. Quoi qu'il en soit, cette question peut rester ouverte, dès lors que la recourante a eu la possibilité de s’exprimer devant la chambre de céans sur l'expertise psychiatrique du Dr</w:t>
      </w:r>
    </w:p>
    <w:p>
      <w:r>
        <w:t>A/3312/2014 - 15/27 - J______ et qu'il s'agit d'un élément du dossier qui n'est pas essentiel, puisqu'elle a renoncé à se prévaloir, dans le cadre de la procédure de recours, d'une incapacité de travail due à des causes psychiques. Même si une violation de son droit d'être entendue devait être admise, elle aurait ainsi été suffisamment réparée devant la chambre de céans et ne se justifierait pas l'annulation de la décision querellée.</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Selon le principe de libre appréciation des preuves, pleinement valable en procédure judiciaire de recours dans le domaine des assurances sociales (cf. art. 61</w:t>
      </w:r>
    </w:p>
    <w:p>
      <w:r>
        <w:t>A/3312/2014 - 16/27 -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11</w:t>
      </w:r>
    </w:p>
    <w:p>
      <w:r>
        <w:t>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w:t>
      </w:r>
    </w:p>
    <w:p>
      <w:r>
        <w:t>A/3312/2014 - 17/27 -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l'espèce, la recourante estime avoir droit à une rente d'invalidité. L'OAI considère, pour sa part, qu'elle est capable de travailler à 100% dans son activité d'aide-soignante, comme l'a retenu le Dr K______, niant une valeur probante à l'expertise du Dr L______. Il convient d'examiner en premier lieu la valeur probante des expertises effectuées par les Drs K______ et L______.</w:t>
      </w:r>
    </w:p>
    <w:p>
      <w:r>
        <w:t>A/3312/2014 - 18/27 - Ni la recourante, ni la Mobilière n'ont contesté la valeur probante de l'expertise du Dr L______, mais l'OAI l'a critiquée, dans ses observations du 15 août 2016, sur plusieurs points. Ces critiques n'apparaissent pas fondées. En effet, dans la mesure où le Dr L______ a répondu, dans l'ordre, aux questions qui lui étaient posées dans la mission d'expertise, en reprenant la même numérotation des questions, l'on ne peut considérer, comme le soutient l'OAI, que son rapport ne suit pas une structure logique en empêchant une compréhension satisfaisante. Les constatations objectives de l'examen clinique du 10 février 2016 figurent sur deux pages du rapport et rien ne remet en cause la validité des constats faits lors de cet examen. Si l'analyse du rapport de causalité par l'expert est relativement longue, puisqu'elle prend huit pages du rapport, cela s'explique par le fait que l'expert a examiné en détail la question, séparément pour chaque diagnostic posé, et qu'il a inséré dans sa discussion des éléments de théorie générale. L'expert a démontré ainsi avoir examiné avec soin la question. S'agissant de l'appréciation des différents avis médicaux, l'expert a repris des extraits des rapports de ses confrères en insérant ses propres commentaires. Cette façon de procéder peu synthétique ne facilite certes pas la lecture, mais ne l'empêche pas non plus et ne remet donc pas sérieusement en cause la valeur probante de l'expertise. L'OAI reproche encore à l'expert de s'être prononcé sur des atteintes ne relevant pas de sa discipline. Cette critique non motivée n'est pas assez précise pour remettre en cause le rapport d'expertise. Il apparaît au contraire que l'expert est resté dans son domaine de compétence, au vu de la motivation de son rapport. Il est reproché à l'expert de ne pas avoir expliqué ses conclusions, et en particulier, son constat que l'intensité et la durée des symptômes rencontrés chez l'assurée étaient plutôt rares et difficiles à expliquer du point de vue orthopédique. Il n’apparaît pas critiquable que l'expert ne détaille pas plus ce constat, qui est manifestement fondé sur son expérience de spécialiste dans le domaine. Il sera démontré ci-après que l'expert a suffisamment expliqué ses conclusions. L'OAI reproche encore à l'expert d'avoir évalué l'incapacité de travail dans l'activité d'aide-soignante « selon les faits écrits et dits » et non pas sur ses constatations personnelles. S'il est exact que pour évaluer la capacité de travail de l'assurée, l'expert s'est référé, sous ch. 44 de son complément d'expertise, « aux faits écrits et dits », l'expert a précisé qu'il s'était aussi fondé sur l'anamnèse et les certificats médicaux au dossier, qui attestaient de la persistance des symptômes. Il s'est également fondé sur ses propres constatations, faites lors de l'examen clinique auquel il a procédé le 10 février 2016, dont le résumé porte sur deux pages de son rapport, et sur la littérature, qui parlait pour un risque élevé de syndrome nuque, épaule et bas dans une population active dans les soins. Le fait que l'expert ait relevé que l'intensité et la durée des symptômes rencontrés chez l'assurée étaient plutôt rares et difficiles à expliquer du point de vue orthopédique, surtout parce qu'elle n'avait plus été exposée à une activité contraignante, ne remet pas en cause la valeur probante de</w:t>
      </w:r>
    </w:p>
    <w:p>
      <w:r>
        <w:t>A/3312/2014 - 19/27 - ses conclusions, mais démontre qu'il a soigneusement examiné la question. L'expert a ainsi conclu de façon convaincante que le conflit sous-acrominial externe avec bursite chronique sans lésion tendineuse épaule gauche pouvait influencer la capacité de travail de l'assurée, en détaillant les limitations fonctionnelles, qui n’apparaissent effectivement pas compatibles avec une activité physique telle que celle d'aide-soignante. Dans son complément d'expertise, l'expert a expliqué pourquoi il concluait que le rendement dépendrait de la nature de l'activité, selon qu'elle était plus ou moins adaptée aux limitations de l'assurée. Cette réponse n'appelle pas la critique. L'OAI reproche encore à l'expert de ne pas avoir, dans son examen clinique, expliqué l'importante différence entre les mobilités active et passive de l'épaule gauche. L'examen clinique ayant pour but de faire des constats et non de les analyser, cette critique apparaît infondée. Contrairement à ce qu'allègue l'OAI, le Dr L______ a commenté le constat du Dr H______, puisqu'il a indiqué dans son rapport que le fait que l'examinateur ne retrouvait pas d'hypotrophie musculaire et que les circonférences du bras et de l'avant-bras ne montraient pas de différence en comparaison des deux côtés parlait contre l'éventualité que le membre supérieur gauche n'était pas du tout utilisé. En conclusion, les arguments de l'OAI ne permettent pas de douter des conclusions du Dr L______. Celui-ci s'est fondé sur le dossier médical de l'assurée et un examen clinique et l'expert a pris en considération les plaintes exprimées par l'assurée. Son rapport a été établi en pleine connaissance de l'anamnèse. La description du contexte médical et l'appréciation de la situation médicale sont motivées et convaincantes. Le fait que le rapport est rédigé d'une manière peu synthétique, ce qui rend sa lecture fastidieuse, ne lui ôte pas sa valeur probante. Sur demande de la chambre de céans, l'expert a complété son rapport par l'appréciation consensuelle du cas, s'agissant de la date du retour au statu quo ante. Les experts l'ont daté du 1er février 2014, conformément aux conclusions du Dr L______, auxquelles le Dr K______ s'est rallié. Le fait que cette date ait été fixée en prenant en compte l'examen clinique auquel le Dr H______ avait procédé le 7 janvier 2014 n’apparaît pas critiquable, quand bien même les conclusions de cet expert ont été considérées comme douteuses par la chambre de céans, dès lors que les constatations cliniques auxquelles a procédé le Dr H______ le 7 janvier 2014 n'ont pas été contestées et qu'elles constituent des éléments objectifs au dossier utiles pour évaluer l'état de l'assurée à ce moment-là. Les experts n'ont pas les mêmes conclusions s'agissant de la capacité de travail de l'assurée. Pour le Dr K______, elle est entière dans toutes activités et, pour le Dr L______, elle n'est entière que dans une activité strictement adaptée. Les experts, en dépit de la demande répétée de la chambre de céans, ne se sont pas mis d'accord sur ce point. Dans la mesure où le Dr K______ s'est rallié aux conclusions de son confrère s'agissant de la date du statu quo ante, au motif que l'argumentation</w:t>
      </w:r>
    </w:p>
    <w:p>
      <w:r>
        <w:t>A/3312/2014 - 20/27 - de ce dernier était fondée sur des chiffres objectifs retrouvés dans le dossier et non sur un avis théorique, il en résulte une force probante accrue de l'expertise du Dr L______ – ce d'autant plus que cette dernière est plus détaillée que celle du Dr K______ – de sorte qu'il y a également lieu de privilégier les conclusions de cette expertise pour déterminer la capacité de travail de l'assurée. Conformément aux conclusions du Dr L______, il sera ainsi retenu que l'assurée a une capacité de travail entière dans une activité strictement adaptée à ses limitations fonctionnelles.</w:t>
      </w:r>
    </w:p>
    <w:p>
      <w:r>
        <w:rPr>
          <w:b/>
        </w:rPr>
        <w:t>E. 15</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w:t>
      </w:r>
    </w:p>
    <w:p>
      <w:r>
        <w:t>A/3312/2014 - 21/27 -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A/3312/2014 - 22/27 - les références; arrêt du Tribunal fédéral 8C_337/2009 du 18 février 2010 consid. 7.5).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p. 399), notamment en retenant des critères inappropriés, en ne tenant pas compte de circonstances pertinentes, en ne procédant pas à un examen complet des circonstances pertinentes ou en n'usant pas de critères objectifs (cf. ATF 130 III 176 consid. 1.2 p. 180). Dans un arrêt 9C_677/2015 du 25 janvier 2016, le Tribunal fédéral a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w:t>
      </w:r>
    </w:p>
    <w:p>
      <w:r>
        <w:t>A/3312/2014 - 23/27 -</w:t>
      </w:r>
    </w:p>
    <w:p>
      <w:r>
        <w:rPr>
          <w:b/>
        </w:rPr>
        <w:t>E. 16</w:t>
      </w:r>
    </w:p>
    <w:p>
      <w:r>
        <w:t>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 il faut arrondir à x+1% (ATF 130 V 121 consid. 3.2).</w:t>
      </w:r>
    </w:p>
    <w:p>
      <w:r>
        <w:rPr>
          <w:b/>
        </w:rPr>
        <w:t>E. 17</w:t>
      </w:r>
    </w:p>
    <w:p>
      <w:r>
        <w:t>a. En l'espèce, pour procéder à la comparaison des revenus de la recourante, il convient de se placer au moment de la naissance du droit à la rente, soit le 1er juillet 2014 –un an après le 17 juillet 2013 selon le Dr L______ (art. 28 al. 1 let. b LAI), étant précisé que la demande de prestations a été déposée le 7 août 2013, soit plus de six mois avant le 1er juillet 2014 (art. 29 al. 1 LAI) –. b. Selon le dernier employeur de l'assurée, sans atteinte à la santé et dans sa dernière activité, celle-ci aurait gagné, en 2013, CHF 73'080.-, plus les indemnités week-ends et jours fériés, qui avaient été de CHF 4'540.- en 2012. Après adaptation de ces montants selon l'échelle de l'évolution des salaires nominaux, des prix à la consommation et des salaires réels, 1976-2014, il y a lieu de retenir que l'assurée aurait obtenu en 2014, sans atteinte à la santé, un revenu annuel de CHF 78'384.17 (soit CHF 73'769.95 [CHF 73'080.- x 2673 / 2648] + CHF 4'614.22 [CHF 4'540.- x 2673 / 2630]. c. S'agissant du salaire avec invalidité, dans la mesure où la recourante n'a pas repris d'activité lucrative et qu'elle ne peut plus exercer sa profession d'aide- soignante, il convient de se référer aux ESS. Compte tenu de l'activité de substitution raisonnablement exigible de sa part dans un emploi adapté à son état de santé, le salaire de référence est celui auquel peuvent prétendre les femmes effectuant des activités simples et répétitives (niveau de qualification 4) dans le secteur privé, à savoir CHF 50'700.- par année (CHF 4'225.- x 12; ESS 2012,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2014 (41.7 heures, Office fédéral de la statistique – statistique de la durée normale du travail dans les entreprises, DNT), ce montant doit être porté à CHF 52'854.75 (CHF 50'700.- x 41.7 / 40) et à CHF 53'718.91 indexé à 2014 selon l'évolution des salaires en termes nominaux (ISS, en 2012 : 2630 et en 2014 : 2673; soit CHF 52'854.75 x 2673 /2630). Il convient encore d'effectuer un abattement supplémentaire sur le salaire statistique de 10% pour tenir compte des limitations fonctionnelles de la recourante. Sa situation ne permet pas de prendre en compte un taux supérieur, au vu de son âge (44 ans en juillet 2014) et du fait qu'elle réside depuis 1987 en Suisse. Il n'apparaît en outre pas que son absence de formation professionnelle et sa mauvaise connaissance du français l'aient concrètement entravée dans ses recherches d'emploi avant d'être atteinte dans sa santé.</w:t>
      </w:r>
    </w:p>
    <w:p>
      <w:r>
        <w:t>A/3312/2014 - 24/27 - Le revenu avec invalidité à prendre en compte pour 2014 est ainsi de CHF 48'347.02 (CHF 53'718.91 – CHF 5'371.89). d. En procédant à la comparaison des salaires sans et avec invalidité, le taux d'invalidité est de 38.34%, arrondis à 38% ([CHF 78'384.17 – CHF 48'347.02] x 100 / CHF 78'384.17). Ce taux étant inférieur au taux minimum de 40% ouvrant le droit à une rente d'invalidité selon l’art. 28 al. 2 LAI, c'est donc à juste titre que l'OAI l'a refusée à la recourante.</w:t>
      </w:r>
    </w:p>
    <w:p>
      <w:r>
        <w:rPr>
          <w:b/>
        </w:rPr>
        <w:t>E. 18</w:t>
      </w:r>
    </w:p>
    <w:p>
      <w:r>
        <w:t>Celle-ci a encore conclu à l'octroi de mesures de réadaptation. À teneur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Il y a menace d’invalidité lorsqu’il est établi au degré de vraisemblance prépondérante que l’assuré perdra sa capacité de gain. Le moment auquel pourrait survenir l’incapacité de gain n’est pas déterminant (art. 1novies RAI). L’art. 8 al. 2 LAI prévoit que les assurés ont droit aux prestations prévues aux art. 13 et 21, quelles que soient les possibilités de réadaptation à la vie professionnelle ou à l’accomplissement de leurs travaux habituels. L’art. 8 al. 3 LAI dispose que les mesures de réadaptation comprennent des mesures médicales (let. a), des mesures de réinsertion préparant à la réadaptation professionnelle (let. abis), des mesures d’ordre professionnel (orientation professionnelle, formation professionnelle initiale, reclassement, placement, aide en capital) (let. b) et l’octroi de moyens auxiliaires (let. d).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w:t>
      </w:r>
    </w:p>
    <w:p>
      <w:r>
        <w:t>A/3312/2014 - 25/27 - au choix du genre de reclassement doivent être prises en considération, elles ne sauraient toutefois jouer un rôle déterminant (RCC 1988 p. 266 consid. 1). Le seuil minimum fixé par la jurisprudence pour ouvrir droit à une mesure de reclassement est une diminution de la capacité de gain de l’ordre de 20% (ATF 130 V 488 consid. 2 et les références). Selon le principe de la proportionnalité qui sous-tend les art. 8 et 21 LAI,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ATF 131 V 167 consid. 3; arrêt du Tribunal fédéral 9C_54/2010 du 19 octobre 2010).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w:t>
      </w:r>
    </w:p>
    <w:p>
      <w:r>
        <w:rPr>
          <w:b/>
        </w:rPr>
        <w:t>E. 19</w:t>
      </w:r>
    </w:p>
    <w:p>
      <w:r>
        <w:t>En l'espèce, au vu du taux d'invalidité retenu (38%), une mesure de reclassement au sens de l’art. 17 LAI est envisageable. Une mesure d'orientation professionnelle pourrait en outre aider la recourante à cibler la ou les activités les plus adaptées à ses limitations fonctionnelles (parmi celles du TA1). Il y a dès lors lieu de renvoyer la cause à l'OAI pour nouvelle décision sur les mesures professionnelles dont pourrait bénéficier la recourante pour tenir compte du fait qu'elle ne peut plus travailler dans son activité d'aide-soignante et de ses limitations fonctionnelles. Il conviendra de déterminer si elle est en mesure, en particulier pour des motifs subjectifs, de mettre à profit les possibilités théoriques qui lui ont été reconnues, étant relevé que le Dr L______ a émis des doutes, dans son complément d'expertise du 9 avril 2016, sur sa motivation et son engagement dans une activité professionnelle future, vu la déception vécue lors de sa dernière activité et la discordance entre son autoévaluation de ses capacités physiques et son réel potentiel.</w:t>
      </w:r>
    </w:p>
    <w:p>
      <w:r>
        <w:rPr>
          <w:b/>
        </w:rPr>
        <w:t>E. 20</w:t>
      </w:r>
    </w:p>
    <w:p>
      <w:r>
        <w:t>Le recours sera en conséquence partiellement admis, la décision du 29 septembre 2014 annulée en tant qu'elle refuse des mesure de réadaptation et confirmée pour le surplus et le dossier renvoyé à l'intimé pour nouvelle décision au sens des considérants.</w:t>
      </w:r>
    </w:p>
    <w:p>
      <w:r>
        <w:t>A/3312/2014 - 26/27 -</w:t>
      </w:r>
    </w:p>
    <w:p>
      <w:r>
        <w:rPr>
          <w:b/>
        </w:rPr>
        <w:t>E. 21</w:t>
      </w:r>
    </w:p>
    <w:p>
      <w:r>
        <w:t>La recourante étant représentée par un conseil et obtenant partiellement gain de cause, a droit à une indemnité à titre de participation à ses frais et dépens, que la chambre de céans fixe en l’espèce à CHF 1'000.- (art. 61 let. g LPGA et 89H al. 1 LPA).</w:t>
      </w:r>
    </w:p>
    <w:p>
      <w:r>
        <w:rPr>
          <w:b/>
        </w:rPr>
        <w:t>E. 22</w:t>
      </w:r>
    </w:p>
    <w:p>
      <w:r>
        <w:t>Il ne sera pas perçu d'émolument.</w:t>
      </w:r>
    </w:p>
    <w:p>
      <w:r>
        <w:t>A/3312/2014 - 27/27 -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