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ATAS/378/2011 vom 13. April 2011</w:t>
      </w:r>
    </w:p>
    <w:p>
      <w:r>
        <w:t>GE Cour de justice, 2011-04-13, FR</w:t>
      </w:r>
    </w:p>
    <w:p>
      <w:r>
        <w:rPr>
          <w:b/>
        </w:rPr>
        <w:t xml:space="preserve">Quelle: </w:t>
      </w:r>
      <w:r>
        <w:t>https://mcp.opencaselaw.ch/entscheid/ge_gerichte_ATAS_378_2011</w:t>
      </w:r>
    </w:p>
    <w:p>
      <w:r>
        <w:t>FR: GE_GERICHTE ATAS/378/2011 du 13 avril 2011</w:t>
      </w:r>
    </w:p>
    <w:p>
      <w:r>
        <w:t>IT: GE_GERICHTE ATAS/378/2011 del 13 aprile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t>A/271/2011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6 janvier 2005, d’autre part le 8 octobre 2010, date à laquelle le jugement de divorce est devenu exécutoire.</w:t>
      </w:r>
    </w:p>
    <w:p>
      <w:r>
        <w:rPr>
          <w:b/>
        </w:rPr>
        <w:t>E. 4</w:t>
      </w:r>
    </w:p>
    <w:p>
      <w:r>
        <w:t>Selon les renseignements recueillis, la prestation acquise pendant le mariage par le demandeur est de 18’082 fr. 55 (30'945 fr. - 12'842 fr. 45) tandis que la demanderesse ne dispose d’aucun avoir de vieillesse. Ainsi le demandeur doit à son ex-épouse le montant de 9'041 fr. 30 (18'082 fr. 55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A/271/2011 4/4</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