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ATAS/377/2025 vom 15. Mai 2025</w:t>
      </w:r>
    </w:p>
    <w:p>
      <w:r>
        <w:t>GE Cour de justice, 2025-05-15, FR</w:t>
      </w:r>
    </w:p>
    <w:p>
      <w:r>
        <w:rPr>
          <w:b/>
        </w:rPr>
        <w:t xml:space="preserve">Quelle: </w:t>
      </w:r>
      <w:r>
        <w:t>https://mcp.opencaselaw.ch/entscheid/ge_gerichte_ATAS_377_2025</w:t>
      </w:r>
    </w:p>
    <w:p>
      <w:r>
        <w:t>FR: GE_GERICHTE ATAS/377/2025 du 15 mai 2025</w:t>
      </w:r>
    </w:p>
    <w:p>
      <w:r>
        <w:t>IT: GE_GERICHTE ATAS/377/2025 del 15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L’objet du litige porte sur le droit de la recourante à une rente d’invalidité.</w:t>
      </w:r>
    </w:p>
    <w:p>
      <w:r>
        <w:t>A/3546/2023 - 5/12 -</w:t>
      </w:r>
    </w:p>
    <w:p>
      <w:r>
        <w:rPr>
          <w:b/>
        </w:rPr>
        <w:t>E. 3.1</w:t>
      </w:r>
    </w:p>
    <w:p>
      <w:r>
        <w:t>Le 1er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concerne un premier octroi de rente dont le droit – s’il était reconnu – naîtrait avant le 31 décembre 2021. En conséquence, les dispositions légales applicables seront citées, ci-après,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w:t>
      </w:r>
    </w:p>
    <w:p>
      <w:r>
        <w:t>A/3546/2023 - 6/12 - Pour les assurés qui accomplissent des travaux habituels à plein temps, l’invalidité est calculée en fonction de l’incapacité de l’assuré à accomplir ses travaux habituels (art. 28a al. 2 LAI).</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4.3.1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4.3.2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(ATF 132 V 65 consid. 4 p. 70 ss). Quand bien même le diagnostic de fibromyalgie était d'abord le fait d'un médecin rhumatologue, dès lors que les facteurs psychosomatiques avaient une influence décisive sur le développement d'une telle maladie, le concours d'un médecin spécialisé en</w:t>
      </w:r>
    </w:p>
    <w:p>
      <w:r>
        <w:t>A/3546/2023 - 7/12 - psychiatrie était donc nécessaire pour en poser le diagnostic (ATF 132 V 65 consid. 4.3 p. 72 ; arrêt 9C_176/2018 du 16 août 2018 consid. 3.2.2). Une expertise interdisciplinaire tenant à la fois compte des aspects rhumatologiques et psychiques apparaissait donc la mesure pour établir de manière objective si l'assuré présentait un état douloureux d'une gravité telle que la mise en valeur de sa capacité de travail sur le marché du travail ne pouvait plus du tout ou seulement partiellement être exigible de sa part (ATF 132 V 65 consid. 4.3 ; arrêt 9C_176/2018 du 16 août 2018 consid. 3.2.2).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4.3.3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w:t>
      </w:r>
    </w:p>
    <w:p>
      <w:r>
        <w:rPr>
          <w:b/>
        </w:rPr>
        <w:t>E. 4.3.4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A/3546/2023 - 8/12 -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w:t>
      </w:r>
    </w:p>
    <w:p>
      <w:r>
        <w:t>A/3546/2023 - 9/12 -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w:t>
      </w:r>
    </w:p>
    <w:p>
      <w:r>
        <w:t>A/3546/2023 - 10/12 - juge devrait statuer, dans le doute, en faveur de l’assuré (ATF 135 V 39 consid. 6.1 et la référence).</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w:t>
      </w:r>
    </w:p>
    <w:p>
      <w:r>
        <w:t>En l’espèce, l’intimé, pour nier l’existence de toute atteinte à la santé invalidante, se fonde sur le rapport d’expertise de la Dre E______. La recourante, elle, invoque l’avis de son psychiatre traitant.</w:t>
      </w:r>
    </w:p>
    <w:p>
      <w:r>
        <w:rPr>
          <w:b/>
        </w:rPr>
        <w:t>E. 7.1</w:t>
      </w:r>
    </w:p>
    <w:p>
      <w:r>
        <w:t>Se pose donc en premier lieu la question de la valeur probante à accorder au rapport d’expertise. Tout d'abord, le rapport d'examen de l’experte se fonde sur une anamnèse détaillée, un examen clinique de la recourante et tient compte des plaintes rapportées par celle-ci. Il a été établi en pleine connaissance du dossier et ses conclusions, dûment motivées, ne laissent pas apparaître de contradiction. Il y a donc lieu de lui reconnaître pleine valeur probante à la forme. Il en va de même quant au fond. L’experte a relevé que l’assurée disposait de bonnes ressources et gérait son quotidien sans limitations d’un point de vue psychiatrique, en dehors des tâches administratives complexes. Elle ne bénéficiait pas d’un traitement antidépresseur et se trouvait sans suivi psychiatrique depuis six mois. L’isolement social était partiel depuis 2017. La cohérence entre l’anamnèse et l’examen clinique était bonne, tout comme la plausibilité des troubles psychiques, chez une assurée dont il a été indiqué qu’elle n’exagérait pas volontairement. La seule incohérence consistait dans le fait que l’assurée sollicitait l’octroi d’une rente entière d’un point de vue psychiatrique, en l’absence de toutes limitations fonctionnelles significatives de ce point de vue. L’absence de limitations fonctionnelles était uniforme dans tous les domaines d’activité. Il y avait également discordance entre la totale incapacité de travail alléguée et la journée type décrite par une assurée gérant sans difficultés son quotidien (ménage, courses, préparation des repas, tâches administratives simples, moments avec des amis et des connaissances malgré un isolement social partiel, bricolage, bénévolat, promenades, etc.). L’assurée admettait pouvoir faire le ménage, s’occuper d’enfants, d’un potager ou d’un jardin, mais expliquait qu’il lui était difficile de trouver un emploi impliquant lecture, écriture, concentration et emploi de la</w:t>
      </w:r>
    </w:p>
    <w:p>
      <w:r>
        <w:t>A/3546/2023 - 11/12 - langue française. L’experte a souligné que l’absence de traitement antidépresseur et d’hospitalisation psychiatrique – alors que le suivi avait été interrompu depuis plusieurs mois – plaidait contre l’existence d’un trouble incapacitant, d’une décompensation de la personnalité ou encore de limitations fonctionnelles significatives. C’est d’autant plus vrai qu’il ressort des indications du psychiatre traitant que, contrairement aux dénégations de la recourante, son suivi a bel et bien été interrompu, et ce durant près de deux ans – de janvier 2019 à décembre 2021. Dans ces circonstances, l’avis émis par le psychiatre traitant, selon lequel l’incapacité de travail de sa patiente serait totale, non étayé par des éléments médicaux objectifs qui auraient été ignorés lors de l’expertise, ne suffit pas à écarter les conclusions de l’expert psychiatre. Le diagnostic de stress post- traumatique n’a pu être confirmé par l’experte. Il est d’autant moins crédible que, comme le fait remarquer le SMR, la recourante a attendu deux ans après l’accident pour débuter un suivi, qu’elle a ensuite rapidement et durablement interrompu. C’est le lieu de rappeler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 qui, comme déjà dit, n’est pas le cas en l’espèce. On relèvera enfin, à l’instar de l’experte, que les traits de personnalité préexistaient à l’arrivée sur le territoire helvétique. La Cour de céans relève que l’intimé n’a pas mis en œuvre d’enquête ménagère alors que la recourante – qui n’a jamais travaillé sur le marché ordinaire, pas même avant l’accident – doit se voir reconnaître un statut de personne non active. Cela étant, dans la mesure où l’atteinte à la santé est uniquement de nature psychique et qu’aucune limitation fonctionnelle n’a été mise en évidence sur ce plan, d’une part, et que l’assurée elle-même a décrit à l’experte un quotidien non affecté par l’atteinte, d’autre part, il n’apparaît pas nécessaire de mettre une telle enquête sur pied. Même le psychiatre traitant n’allègue pas que l’assurée serait empêchée d’accomplir ses travaux habituels pour des raisons psychiques.</w:t>
      </w:r>
    </w:p>
    <w:p>
      <w:r>
        <w:rPr>
          <w:b/>
        </w:rPr>
        <w:t>E. 8</w:t>
      </w:r>
    </w:p>
    <w:p>
      <w:r>
        <w:t>Eu égard aux considérations qui précèdent, c’est à juste titre que l’intimé a nié à la recourante le droit à une rente, faute d’atteinte à la santé invalidante. Le recours est rejeté.</w:t>
      </w:r>
    </w:p>
    <w:p>
      <w:r>
        <w:t>***</w:t>
      </w:r>
    </w:p>
    <w:p>
      <w:r>
        <w:t>A/3546/2023 - 12/12 -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