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ATAS/376/2026 vom 30. April 2026</w:t>
      </w:r>
    </w:p>
    <w:p>
      <w:r>
        <w:t>GE Cour de justice, 2026-04-30, FR</w:t>
      </w:r>
    </w:p>
    <w:p>
      <w:r>
        <w:rPr>
          <w:b/>
        </w:rPr>
        <w:t xml:space="preserve">Quelle: </w:t>
      </w:r>
      <w:r>
        <w:t>https://mcp.opencaselaw.ch/entscheid/ge_gerichte_ATAS_376_2026</w:t>
      </w:r>
    </w:p>
    <w:p>
      <w:r>
        <w:t>FR: GE_GERICHTE ATAS/376/2026 du 30 avril 2026</w:t>
      </w:r>
    </w:p>
    <w:p>
      <w:r>
        <w:t>IT: GE_GERICHTE ATAS/376/2026 del 30 aprile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1.2</w:t>
      </w:r>
    </w:p>
    <w:p>
      <w:r>
        <w:t>Le recours, interjeté dans les forme et délai prescrits par la loi, est recevable.</w:t>
      </w:r>
    </w:p>
    <w:p>
      <w:r>
        <w:rPr>
          <w:b/>
        </w:rPr>
        <w:t>E. 2</w:t>
      </w:r>
    </w:p>
    <w:p>
      <w:r>
        <w:t>En vertu de l’art. 53 al. 3 LPGA, qui reprend le contenu de l’art. 58 al. 1 de la loi fédérale sur la procédure administrative du 20 décembre 1968 (PA - RS 172.021), l’autorité peut reconsidérer une décision contre laquelle un recours a été formé jusqu’à l’envoi de son préavis à l’autorité de recours. Selon la jurisprudence du Tribunal administratif fédéral et la doctrine majoritaire, par « préavis » ou « réponse » au sens de ces dispositions, il faut entendre la ou les déterminations que l’assureur social est invité à présenter dans le cadre de l’échange d’écritures ordonné par l’autorité de recours. En l'occurrence, l'intimé a proposé l’admission du recours après examen des nouveaux documents portés à sa connaissance et consultation du SMR. Il convient dès lors de statuer en ce sens.</w:t>
      </w:r>
    </w:p>
    <w:p>
      <w:r>
        <w:t>***</w:t>
      </w:r>
    </w:p>
    <w:p>
      <w:r>
        <w:t>A/599/2026 - 4/4 -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