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ATAS/376/2008 vom 1. April 2008</w:t>
      </w:r>
    </w:p>
    <w:p>
      <w:r>
        <w:t>GE Cour de justice, 2008-04-01, FR</w:t>
      </w:r>
    </w:p>
    <w:p>
      <w:r>
        <w:rPr>
          <w:b/>
        </w:rPr>
        <w:t xml:space="preserve">Quelle: </w:t>
      </w:r>
      <w:r>
        <w:t>https://mcp.opencaselaw.ch/entscheid/ge_gerichte_ATAS_376_2008</w:t>
      </w:r>
    </w:p>
    <w:p>
      <w:r>
        <w:t>FR: GE_GERICHTE ATAS/376/2008 du 1 avril 2008</w:t>
      </w:r>
    </w:p>
    <w:p>
      <w:r>
        <w:t>IT: GE_GERICHTE ATAS/376/2008 del 1 aprile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En l'occurrence, la présente cause est soumise à la LPGA. En ce qui concerne la procédure et à défaut de règles transitoires contraires, le nouveau droit s'applique sans réserve dès le jour de son entrée en vigueur (ATF 117 V 93 consid. 6b; 112 V 360 consid. 4a; RAMA 1998 KV 37 p. 316 consid. 3b).</w:t>
      </w:r>
    </w:p>
    <w:p>
      <w:r>
        <w:rPr>
          <w:b/>
        </w:rPr>
        <w:t>E. 3</w:t>
      </w:r>
    </w:p>
    <w:p>
      <w:r>
        <w:t>Le Tribunal de céans constate que le recours, interjeté dans les formes et délai légaux prévus par l’art. 60 LPGA, est recevable.</w:t>
      </w:r>
    </w:p>
    <w:p>
      <w:r>
        <w:rPr>
          <w:b/>
        </w:rPr>
        <w:t>E. 4</w:t>
      </w:r>
    </w:p>
    <w:p>
      <w:r>
        <w:t>Le litige porte en l’occurrence sur la question de savoir si l'OCAI pouvait procéder à la révision, voire à la reconsidération, de la décision d'octroi de la rente d'invalidité.</w:t>
      </w:r>
    </w:p>
    <w:p>
      <w:r>
        <w:t>a)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La définition de l'invalidité est désormais inscrite dans la loi. Selon l'art. 8 al. 1 LPGA, est réputée invalidité l'incapacité de gain totale ou partielle qui est présumée permanente ou de longue durée.</w:t>
      </w:r>
    </w:p>
    <w:p>
      <w:r>
        <w:t>A/4258/2007 - 7/16 -</w:t>
      </w:r>
    </w:p>
    <w:p>
      <w:r>
        <w:t>En raison de l'uniformité de la notion d'invalidité, il convient d'éviter que pour une même atteinte à la santé, assurance-accidents, assurance militaire et assurance- 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w:t>
      </w:r>
    </w:p>
    <w:p>
      <w:r>
        <w:t>Une appréciation divergente ne peut intervenir qu'à titre exceptionnel et seulement s'il existe des motifs suffisants. A cet égard, il ne suffit donc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(ATFA non publié du 30 novembre 2004, I 50/04). b)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c)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w:t>
      </w:r>
    </w:p>
    <w:p>
      <w:r>
        <w:t>A/4258/2007 - 8/16 - déterminer quels travaux on peut encore, raisonnablement, exiger de l'assuré (ATF 125 V 261, consid. 4, et la jurisprudence citée). d) L'entrée en vigueur de la 4ème révision de la LAI a modifié la teneur de l'art. 28 al. 1 LAI à partir du 1er janvier 2004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e)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voir également ATF 120 V 131 consid. 3b, 119 V 478 consid. 1b/aa).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f) Selon l’art. 53 LPGA, les décisions et les décisions sur opposition formellement passées en force sont soumises à révision si l’assuré ou l’assureur découvre subséquemment des faits nouveaux importants ou trouve des moyens de preuve qui ne pouvaient être produits auparavant (al. 1). L’assureur peut revenir sur les décisions et les décisions sur opposition formellement passées en force lorsqu’elles sont manifestement erronées et que leur rectification revêt une importance notable (al. 2). Ainsi, si les conditions prévues à l'art. 17 LPGA font défaut, la décision de rente peut être éventuellement modifiée d'après les règles applicables à la reconsidération de décisions administratives passées en force. Conformément à</w:t>
      </w:r>
    </w:p>
    <w:p>
      <w:r>
        <w:t>A/4258/2007 - 9/16 - l’art. 53 al. 2 LPGA,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B. du 19 décembre 2002, I 222/02, consid. 3.2, et les références). Dans un ATF non publié du 13 août 2003, en la cause I 790/01, le Tribunal fédéral des assurances (ci-après le TFA) a jugé que l’Office de l’assurance-invalidité,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 Dans un ATF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du 17 janvier 1961 -</w:t>
      </w:r>
    </w:p>
    <w:p>
      <w:r>
        <w:t>A/4258/2007 - 10/16 - RAI). Or, s’il apparaît ultérieurement, à la suite d’une nouvelle analyse de la situation, que l’appréciation médicale du cas à l’époque était critiquable, cela ne rend pas pour autant la décision prise sur cette base comme étant manifestement erronée ». g) Aux termes de l'art. 88 al. 1 RAI, si la capacité de gain ou la capacité d'accomplir les travaux habituels de l'assuré s'améliore ou que son impotence s'atténue, il y a lieu de considérer que ce changement supprime, le cas échéant, toute ou partie de son droit aux prestations dès qu'on peut s'attendre à ce que l'amélioration constatée se maintienne durant une assez longue période. Il en va de même lorsque un tel changement déterminant a duré trois mois déjà sans interruption notable et sans qu'une complication prochaine soit à craindre. L'art. 88bis al. 2 let. a RAI stipule que la diminution ou la suppression de la rente ou de l'allocation pour impotence prend effet au plus tôt le premier jour du deuxième mois qui suit la notification de la décision. h)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TFA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w:t>
      </w:r>
    </w:p>
    <w:p>
      <w:r>
        <w:t>A/4258/2007 - 11/16 - conclusions de ce dernier par le juge ou, au besoin, une instruction complémentaire sous la forme d'une nouvelle expertise médicale (ATF 125 V 352 consid. 3b/aa et les références).</w:t>
      </w:r>
    </w:p>
    <w:p>
      <w:r>
        <w:rPr>
          <w:b/>
        </w:rPr>
        <w:t>E. 5</w:t>
      </w:r>
    </w:p>
    <w:p>
      <w:r>
        <w:t>Il convient tout d'abord de déterminer quelle est actuellement la capacité de travail de la recourante, en se basant sur les documents médicaux se trouvant au dossier depuis l'ouverture de la procédure de révision.</w:t>
      </w:r>
    </w:p>
    <w:p>
      <w:r>
        <w:t>Selon les conclusions de l'expertise bidisciplinaire à laquelle a été soumise l'assurée, celle-ci présente une totale incapacité de travail au plan somatique et une capacité de travail entière au plan psychique. À cet égard, il convient de constater que cette expertise, complète et dont les conclusions sont motivées, a pleine valeur probante au sens de la jurisprudence du Tribunal fédéral.</w:t>
      </w:r>
    </w:p>
    <w:p>
      <w:r>
        <w:t>Cependant, singulièrement, les conclusions de cette expertise ont été remises en cause par plusieurs médecins, qui estiment au contraire la capacité de travail de l'assurée complète dans une activité adaptée à ses limitations fonctionnelles.</w:t>
      </w:r>
    </w:p>
    <w:p>
      <w:r>
        <w:t>À cet égard, la Dresse P_________ du SMR estime qu'en l'absence de pathologie psychiatrique invalidante et en l'absence de douleurs lorsque la main gauche n'est pas sollicitée, la capacité de travail reste complète (rapport du 23 janvier 2007). Cette appréciation est partagée par le Dr Q_________ des HUG, selon lequel l'état de santé de l'assurée est stationnaire et peut être amélioré par des mesures médicales et des mesures professionnelles (rapport du 13 juin 2007). Le Dr R_________, également médecin aux HUG, estime aussi que le taux de capacité de travail pourrait être théoriquement de 100% pour une activité ne sollicitant pas les genoux, comme du travail de bureau (rapport du 22 août 2007). S'agissant de ces deux derniers avis, l'on peut se demander si ces médecins ont pris en compte l'atteinte au pouce pour déterminer la capacité de travail. Cependant, s'agissant de cette atteinte, le médecin de l'assurance-accidents, la SUVA, a également constaté qu'une activité complète pourrait être possible, qui respecterait les limitations fonctionnelles liées à l'atteinte du pouce (rapport du Dr O_________ du 11 février 2005).</w:t>
      </w:r>
    </w:p>
    <w:p>
      <w:r>
        <w:t>Partant, ces multiples avis médicaux convainquent le Tribunal de céans, qui s'écartera par conséquent des conclusions de l'expertise du 13 décembre 2006. Ainsi, il sera retenu que la recourante présente actuellement une pleine capacité résiduelle de travail, dans une activité adaptée à ses limitations fonctionnelles, à savoir pas de mouvement de préhension, pas de travaux de force, pas de port de charges moyennes à lourdes, pas d'activité sollicitant les genoux.</w:t>
      </w:r>
    </w:p>
    <w:p>
      <w:r>
        <w:rPr>
          <w:b/>
        </w:rPr>
        <w:t>E. 6</w:t>
      </w:r>
    </w:p>
    <w:p>
      <w:r>
        <w:t>Il convient maintenant de déterminer si la décision initiale de l’OCAI (octroi d’une rente entière d’invalidité) peut être réexaminée par la voie de la révision ou par celle de la reconsidération. Pour que l’art. 17 LPGA s’applique, il faut que le taux</w:t>
      </w:r>
    </w:p>
    <w:p>
      <w:r>
        <w:t>A/4258/2007 - 12/16 - d’invalidité ait subi une modification notable, après la décision initiale, ou qu'un changement lié aux conséquences économiques de l'invalidité se soit produit. Par décision du 15 août 2005, l'assurance-invalidité fédérale a octroyé à l'assurée une rente entière d'invalidité dès le 1er octobre 2003. À cette époque, l'assurée présentait une rhizarthrose post-traumatique stade III en 2000 ainsi qu'une névralgie de la branche sensitive du nerf médian depuis le 10 juin 2003, selon le Dr M__________ (rapport du 17 septembre 2003). Le Dr N_________ avait quant à lui diagnostiqué de surcroît une hypertension artérielle et une dépression chronique (rapport du 24 novembre 2003). Lors de la procédure de révision, le Dr N_________ a indiqué que l'état de santé de sa patiente était resté stationnaire, sans changement dans les diagnostics, depuis l'année 2000 (rapport du 25 août 2005). Les experts qui ont examiné l'assurée ont diagnostiqué un status après résection suspension interposition trapézo- métacarpienne le 29 octobre 2002 au niveau du pouce de la main gauche et un status après révision articulaire des calcifications ectopiques du pouce gauche le</w:t>
      </w:r>
    </w:p>
    <w:p>
      <w:r>
        <w:rPr>
          <w:b/>
        </w:rPr>
        <w:t>E. 10</w:t>
      </w:r>
    </w:p>
    <w:p>
      <w:r>
        <w:t>Partant, il convient de constater que le recours, mal fondé, doit être rejeté.</w:t>
      </w:r>
    </w:p>
    <w:p>
      <w:r>
        <w:rPr>
          <w:b/>
        </w:rPr>
        <w:t>E. 11</w:t>
      </w:r>
    </w:p>
    <w:p>
      <w:r>
        <w:t>La loi fédérale du 16 décembre 2005 modifiant la LAI,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r>
        <w:t>A/4258/2007 - 16/16 -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