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ATAS/375/2016 vom 17. Mai 2016</w:t>
      </w:r>
    </w:p>
    <w:p>
      <w:r>
        <w:t>GE Cour de justice, 2016-05-17, FR</w:t>
      </w:r>
    </w:p>
    <w:p>
      <w:r>
        <w:rPr>
          <w:b/>
        </w:rPr>
        <w:t xml:space="preserve">Quelle: </w:t>
      </w:r>
      <w:r>
        <w:t>https://mcp.opencaselaw.ch/entscheid/ge_gerichte_ATAS_375_2016</w:t>
      </w:r>
    </w:p>
    <w:p>
      <w:r>
        <w:t>FR: GE_GERICHTE ATAS/375/2016 du 17 mai 2016</w:t>
      </w:r>
    </w:p>
    <w:p>
      <w:r>
        <w:t>IT: GE_GERICHTE ATAS/375/2016 del 17 maggio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recours, déposé dans les formes et délai prévus par la loi est recevable à la forme (art. 56 et 60 LPGA) ;</w:t>
      </w:r>
    </w:p>
    <w:p>
      <w:r>
        <w:rPr>
          <w:b/>
        </w:rPr>
        <w:t>E. 3</w:t>
      </w:r>
    </w:p>
    <w:p>
      <w:r>
        <w:t>La question, préalable à l’examen d’éventuelles prestations, à résoudre est de savoir si les douleurs ressenties et décrites par le recourant sont en adéquation avec l’état neurologique du patient, et quelle est sa capacité de travail résiduelle, et s'il existe une diminution de rendement ;</w:t>
      </w:r>
    </w:p>
    <w:p>
      <w:r>
        <w:rPr>
          <w:b/>
        </w:rPr>
        <w:t>E. 4</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Il doit en particulier mettre en œuvre une expertise lorsqu'il apparaît nécessaire de clarifier les aspects médicaux du cas (ATF 117 V 282 consid. 4a; RAMA 1985 p. 240 consid. 4 ; arrêt du Tribunal fédéral des assurances I 751/03 du 19 mars 2004 consid. 3.3) ; Lorsque le juge des assurances sociales constate qu'une instruction est nécessaire, il doit en principe mettre lui-même en oeuvre une expertise (ATF 137 V 210 consid. 4.4.1.3 et 4.4.1.4) ; un renvoi à l’administration reste possible, notamment lorsqu'il s'agit de préciser un point de l'expertise ordonnée par l'administration ou de demander un complément à l'expert (ATF 137 V 210 consid. 4.4.1.3 et 4.4.1.4 ; arrêt du Tribunal fédéral 8C_760/2011 du 26 janvier 2012 consid. 3)°; les coûts de l'expertise peuvent être mis à la charge de l'assureur social (ATF 137 V 210 consid. 4.4.2) ;</w:t>
      </w:r>
    </w:p>
    <w:p>
      <w:r>
        <w:rPr>
          <w:b/>
        </w:rPr>
        <w:t>E. 5</w:t>
      </w:r>
    </w:p>
    <w:p>
      <w:r>
        <w:t>S'agissant des troubles neurologiques, répondre aux questions suivantes : a) Le recourant présente-t-il des troubles neurologiques? Si oui, depuis quand ? b) Les plaintes du patient sont-elles objectivées du point de vue neurologique? c) Quelles sont les limitations fonctionnelles dues à chaque diagnostic?</w:t>
      </w:r>
    </w:p>
    <w:p>
      <w:r>
        <w:rPr>
          <w:b/>
        </w:rPr>
        <w:t>E. 6</w:t>
      </w:r>
    </w:p>
    <w:p>
      <w:r>
        <w:t>Mentionner, pour chaque diagnostic posé, ses conséquences sur la capacité de travail du recourant, en pourcent.</w:t>
      </w:r>
    </w:p>
    <w:p>
      <w:r>
        <w:rPr>
          <w:b/>
        </w:rPr>
        <w:t>E. 7</w:t>
      </w:r>
    </w:p>
    <w:p>
      <w:r>
        <w:t>Mentionner globalement les conséquences des divers diagnostics retenus sur la capacité de travail du recourant, en pourcent.</w:t>
      </w:r>
    </w:p>
    <w:p>
      <w:r>
        <w:rPr>
          <w:b/>
        </w:rPr>
        <w:t>E. 8</w:t>
      </w:r>
    </w:p>
    <w:p>
      <w:r>
        <w:t>Dater la survenance de l’incapacité de travail durable, le cas échéant.</w:t>
      </w:r>
    </w:p>
    <w:p>
      <w:r>
        <w:rPr>
          <w:b/>
        </w:rPr>
        <w:t>E. 9</w:t>
      </w:r>
    </w:p>
    <w:p>
      <w:r>
        <w:t>Indiquer l'évolution du taux d'incapacité de travail, en pourcent, depuis la survenance de l'incapacité de travail durable.</w:t>
      </w:r>
    </w:p>
    <w:p>
      <w:r>
        <w:rPr>
          <w:b/>
        </w:rPr>
        <w:t>E. 10</w:t>
      </w:r>
    </w:p>
    <w:p>
      <w:r>
        <w:t>Évaluer l'exigibilité, en pourcent, d'une activité lucrative adaptée et indiquer le domaine d'activité adapté.</w:t>
      </w:r>
    </w:p>
    <w:p>
      <w:r>
        <w:rPr>
          <w:b/>
        </w:rPr>
        <w:t>E. 11</w:t>
      </w:r>
    </w:p>
    <w:p>
      <w:r>
        <w:t>Dire s'il y a une diminution de rendement et la chiffrer.</w:t>
      </w:r>
    </w:p>
    <w:p>
      <w:r>
        <w:rPr>
          <w:b/>
        </w:rPr>
        <w:t>E. 12</w:t>
      </w:r>
    </w:p>
    <w:p>
      <w:r>
        <w:t>Le traitement est-il approprié ?</w:t>
      </w:r>
    </w:p>
    <w:p>
      <w:r>
        <w:rPr>
          <w:b/>
        </w:rPr>
        <w:t>E. 13</w:t>
      </w:r>
    </w:p>
    <w:p>
      <w:r>
        <w:t>La compliance est-elle optimale ?</w:t>
      </w:r>
    </w:p>
    <w:p>
      <w:r>
        <w:t>- 19/19-</w:t>
      </w:r>
    </w:p>
    <w:p>
      <w:r>
        <w:t>A/562/2015</w:t>
      </w:r>
    </w:p>
    <w:p>
      <w:r>
        <w:rPr>
          <w:b/>
        </w:rPr>
        <w:t>E. 14</w:t>
      </w:r>
    </w:p>
    <w:p>
      <w:r>
        <w:t>Évaluer la possibilité d'améliorer la capacité de travail par des mesures médicales.</w:t>
      </w:r>
    </w:p>
    <w:p>
      <w:r>
        <w:rPr>
          <w:b/>
        </w:rPr>
        <w:t>E. 15</w:t>
      </w:r>
    </w:p>
    <w:p>
      <w:r>
        <w:t>Les atteintes relevées s'inscrivent-elles dans un contexte de conflit émotionnel ou de problèmes psycho-sociaux particuliers ?</w:t>
      </w:r>
    </w:p>
    <w:p>
      <w:r>
        <w:rPr>
          <w:b/>
        </w:rPr>
        <w:t>E. 16</w:t>
      </w:r>
    </w:p>
    <w:p>
      <w:r>
        <w:t>Quelles sont les répercussions fonctionnelles des atteintes retenues dans les actes de la vie quotidienne ?</w:t>
      </w:r>
    </w:p>
    <w:p>
      <w:r>
        <w:rPr>
          <w:b/>
        </w:rPr>
        <w:t>E. 17</w:t>
      </w:r>
    </w:p>
    <w:p>
      <w:r>
        <w:t>Commenter et discuter les avis médicaux du SMR et des médecins traitants et si l'expert s'écarte de leurs conclusions sur la question des diagnostics, des limitations et de la capacité de travail du recourant, dire pourquoi.</w:t>
      </w:r>
    </w:p>
    <w:p>
      <w:r>
        <w:rPr>
          <w:b/>
        </w:rPr>
        <w:t>E. 18</w:t>
      </w:r>
    </w:p>
    <w:p>
      <w:r>
        <w:t>Formuler un pronostic global.</w:t>
      </w:r>
    </w:p>
    <w:p>
      <w:r>
        <w:rPr>
          <w:b/>
        </w:rPr>
        <w:t>E. 19</w:t>
      </w:r>
    </w:p>
    <w:p>
      <w:r>
        <w:t>Formuler toute remarque utile et proposition.</w:t>
      </w:r>
    </w:p>
    <w:p>
      <w:r>
        <w:t>3. Commet à ces fins le Dr S_____; 4. Invite l’expert à déposer à sa meilleure convenance un rapport en trois exemplaires à la chambre de céans ; 5. Réserve le fond.</w:t>
      </w:r>
    </w:p>
    <w:p>
      <w:r>
        <w:t>La greffière</w:t>
      </w:r>
    </w:p>
    <w:p>
      <w:r>
        <w:t>Florence SCHMUTZ</w:t>
      </w:r>
    </w:p>
    <w:p>
      <w:r>
        <w:t>Le président</w:t>
      </w:r>
    </w:p>
    <w:p>
      <w:r>
        <w:t>Mario-Dominique TORELLO</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