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ATAS/374/2021 vom 22. April 2021</w:t>
      </w:r>
    </w:p>
    <w:p>
      <w:r>
        <w:t>GE Cour de justice, 2021-04-22, FR</w:t>
      </w:r>
    </w:p>
    <w:p>
      <w:r>
        <w:rPr>
          <w:b/>
        </w:rPr>
        <w:t xml:space="preserve">Quelle: </w:t>
      </w:r>
      <w:r>
        <w:t>https://mcp.opencaselaw.ch/entscheid/ge_gerichte_ATAS_374_2021</w:t>
      </w:r>
    </w:p>
    <w:p>
      <w:r>
        <w:t>FR: GE_GERICHTE ATAS/374/2021 du 22 avril 2021</w:t>
      </w:r>
    </w:p>
    <w:p>
      <w:r>
        <w:t>IT: GE_GERICHTE ATAS/374/2021 del 22 aprile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2021 est entrée en vigueur la modification du 21 juin 2019 de la LPGA. Le recours étant alors déjà pendant devant la Cour de céans, il reste soumis à l'ancien droit (cf. art. 83 LPGA).</w:t>
      </w:r>
    </w:p>
    <w:p>
      <w:r>
        <w:rPr>
          <w:b/>
        </w:rPr>
        <w:t>E. 3</w:t>
      </w:r>
    </w:p>
    <w:p>
      <w:r>
        <w:t>Le délai de recours est de trente jours (art. 56 LPGA; art. 62 al. 1 de la loi sur la procédure administrative du 12 septembre 1985 [LPA - E 5 10]). Interjeté dans les forme et délai prévus par la loi, le recours est recevable.</w:t>
      </w:r>
    </w:p>
    <w:p>
      <w:r>
        <w:rPr>
          <w:b/>
        </w:rPr>
        <w:t>E. 4</w:t>
      </w:r>
    </w:p>
    <w:p>
      <w:r>
        <w:t>Le litige porte sur le droit du recourant à une rente d’invalidité au-delà du 31 janvier 2014.</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arrêt du Tribunal fédéral 9C_1006/2010 du 22 mars 2011 consid 2.2).</w:t>
      </w:r>
    </w:p>
    <w:p>
      <w:r>
        <w:t>A/424/2020 - 8/15 -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w:t>
      </w:r>
    </w:p>
    <w:p>
      <w:r>
        <w:t>A/424/2020 - 9/15 -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7</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A/424/2020 - 10/15 -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w:t>
      </w:r>
    </w:p>
    <w:p>
      <w:r>
        <w:t>A/424/2020 - 11/15 - consid. 5 ;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g.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w:t>
      </w:r>
    </w:p>
    <w:p>
      <w:r>
        <w:t>A/424/2020 - 12/15 -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 arrêt du Tribunal fédéral des assurances I 35/03 du 24 octobre 2003 consid. 4.3 et les références, in Plädoyer 2004/3 p. 64 ; arrêt du Tribunal fédéral 9C_512/2013 du 16 janvier 2014 consid. 5.2.1).</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w:t>
      </w:r>
    </w:p>
    <w:p>
      <w:r>
        <w:t>A/424/2020 - 13/15 -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l’intimé a considéré qu’à compter d’octobre 2013, l’assuré avait recouvré une pleine capacité de travail dans une activité adaptée, ce que l’intéressé conteste en invoquant notamment l’avis de l’expert orthopédiste du CEMEDEX, celui de son médecin traitant et le fait que son stage auprès des EPI n’a pas été couronné de succès. Il ne s’estime pour sa part apte qu’à travailler à 50% tout au plus. En l’occurrence, l’expertise pluridisplinaire a été pratiquée, à laquelle il convient de reconnaître pleine valeur probante. En effet, elle répond aux réquisits jurisprudentiels et ses conclusions sont convaincantes. Ainsi que le fait remarquer l’intimé, le fait que l’un des experts ait conclu, au terme de son rapport individuel, à une capacité de travail de 50% avant de se ranger à l’avis de ses collègues et d’admettre une pleine capacité de travail ne suffit pas à jeter le doute sur les conclusions du consilium, celui-ci ayant justement pour objectif d’arriver à un consensus après avoir confronté les opinions des différents spécialistes. Qui plus est, on notera que l’argumentation développée par l’expert orthopédiste à l’appui d’une capacité de travail réduite n’était pas étayée par des éléments objectifs mais par le simple fait que le taux du stage aux EPI avait été réduit de 100% à 50% sur certificat médical. Or, il apparaît que le stage proposé au recourant par les EPI - d’ouvrier de précision en horlogerie - ne répondait clairement pas à la description d’une activité adaptée telle que ressortant de l’expertise puisqu’il impliquait une position statique prolongée à l’établi. On ne saurait dès lors tirer de conclusion valable du fait que cette position ait réveillé les dorsolombalgies de l’assuré quant à sa capacité à exercer une activité véritablement adaptée à son état. C’est aussi le lieu de rappeler, s’agissant du rapport des EPI, que, selon la jurisprudence, les informations recueillies au cours d’un stage d’observation ne sauraient supplanter l’avis dûment motivé des médecins, à qui il appartient au</w:t>
      </w:r>
    </w:p>
    <w:p>
      <w:r>
        <w:t>A/424/2020 - 14/15 - premier chef de porter un jugement sur l’état de santé de l’assuré et d’indiquer quelle activité et dans quelle mesure celui-ci est capable d’exercer. En effet, les données médicales permettent généralement une appréciation plus objective du cas et doivent l’emporter en principe sur les constatations faites lors d’un stage d’observation professionnelle, susceptibles d’être influencées par des éléments subjectifs liés au comportement de l’assuré durant le stage. En l’occurrence, lors du stage aux EPI, il a été noté que l’assuré disposait de bonnes capacités d’intégration sociale et de capacités physiques compatibles avec des activités manuelles simples, légères et pratiques s’effectuant en position assise et laissant la possibilité d’alterner les positions lorsque l’intéressé en ressent le besoin. Un rendement globalement réduit dû à un manque de dynamisme, à une lenteur d’exécution et un rendement insuffisant ont été relevés, dont l’intimé a tenu compte puisqu’il s’est rangé à l’avis du SMR selon lequel il fallait y voir là des limitations fonctionnelles supplémentaires à prendre en compte : il conviendra de privilégier une activité de type élémentaire, manuelle et simple, ne nécessitant pas de grandes capacités de concentration ou de mémorisation. Quant au médecin-traitant, il n’apporte pas d’élément objectif permettant de s’écarter des conclusions de l’expertise. Au contraire, ainsi que le fait remarquer le SMR, les données cliniques sont plutôt meilleures que celles notées par les experts (distance doigts-sol de 30 cm au lieu d’un mètre et Lasègue de 30° au lieu de 90°). Peu importe que cela soit le résultat d’une amélioration clinique ou d’une compensation par l’assuré qui s’adapte au fil du temps à sa pathologie. Le résultat n’en demeure pas moins là.</w:t>
      </w:r>
    </w:p>
    <w:p>
      <w:r>
        <w:t>Le médecin-traitant a d’ailleurs admis en audience que son évaluation de la capacité de travail reposait plutôt sur des facteurs extra-médicaux, à savoir le long éloignement de son patient du marché du travail et son âge. Eu égard aux considérations qui précèdent, il n’y a pas lieu de s’écarter des conclusions du consilium d’experts telles que modulées par le SMR, à savoir, une capacité de travail pleine et entière dans une activité adaptée aux limitations tant fonctionnelles que psychiques, c’est-à-dire dans une activité simple et répétitive n’impliquant ni port de charges de plus de 5-10 kg, ni mouvements répétés de la colonne dorsolombaire en flexion et en rotation, ni travail en hauteur, ni position statique prolongée, ni capacités de concentration importantes, accessible par une simple mise au courant pratique. Le calcul du degré d’invalidité n’est pas contesté, pas plus que la date d’ouverture du droit à la rente, de sorte que la décision de l’intimé s’avère en tous points bien fondée. Le recours est donc rejeté.</w:t>
      </w:r>
    </w:p>
    <w:p>
      <w:r>
        <w:t>A/424/2020 - 15/15 -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