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ATAS/374/2013 vom 22. April 2013</w:t>
      </w:r>
    </w:p>
    <w:p>
      <w:r>
        <w:t>GE Cour de justice, 2013-04-22, FR</w:t>
      </w:r>
    </w:p>
    <w:p>
      <w:r>
        <w:rPr>
          <w:b/>
        </w:rPr>
        <w:t xml:space="preserve">Quelle: </w:t>
      </w:r>
      <w:r>
        <w:t>https://mcp.opencaselaw.ch/entscheid/ge_gerichte_ATAS_374_2013</w:t>
      </w:r>
    </w:p>
    <w:p>
      <w:r>
        <w:t>FR: GE_GERICHTE ATAS/374/2013 du 22 avril 2013</w:t>
      </w:r>
    </w:p>
    <w:p>
      <w:r>
        <w:t>IT: GE_GERICHTE ATAS/374/2013 del 22 aprile 2013</w:t>
      </w:r>
    </w:p>
    <w:p>
      <w:pPr>
        <w:pStyle w:val="Heading2"/>
      </w:pPr>
      <w:r>
        <w:t>Erwägungen</w:t>
      </w:r>
    </w:p>
    <w:p>
      <w:r>
        <w:rPr>
          <w:b/>
        </w:rPr>
        <w:t>E. 1</w:t>
      </w:r>
    </w:p>
    <w:p>
      <w:r>
        <w:t>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mesure de reclassement suite à l'incapacité de travail totale du recourant depuis le 17 octobre 2008. La loi</w:t>
      </w:r>
    </w:p>
    <w:p>
      <w:r>
        <w:t>A/3595/2010 - 12/21 -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A/3595/2010 - 15/21 -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w:t>
      </w:r>
    </w:p>
    <w:p>
      <w:r>
        <w:t>A/3595/2010 - 16/21 -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7</w:t>
      </w:r>
    </w:p>
    <w:p>
      <w:r>
        <w:t>a) En l'espèce, le recourant requiert l'octroi d'une mesure de reclassement sous la forme d'une formation de sertisseur alors que l'intimé estime que cette mesure n'est pas justifiée au motif que le recourant dispose de possibilités de gain équivalentes dans divers secteurs économiques, comme par exemple dans le domaine du contrôle, du rhodiage ou du nettoyage de pièces et que sa formation de polisseur et son expérience professionnelle lui permettent d'exercer diverses activités adaptées à ses limitations fonctionnelles et sans nécessité d'une formation supplémentaire particulière. b) Il convient tout d'abord de constater que l'expertise judiciaire de la Dresse V___________ répond, avec ses compléments des 16 janvier et 29 mai 2012 aux critères jurisprudentiels précités pour qu'il lui soit reconnu une pleine valeur probante. En effet, elle relate précisément l’histoire médicale du recourant et les plaintes actuelles ; les diagnostics sont clairs avec la désignation des limitations fonctionnelles et l’impact de celles-ci sur l’ancienne activité, ainsi que sur d’autres activités dans le domaine de la bijouterie, soit une incapacité de travail totale dans l'activité de polisseur et nulle dans une activité adaptée comme celle de contrôle de bijoux, rhodiage et nettoyage de pièces pour autant qu'il n'y ait pas de port de lourdes charges. Le recourant a adhéré aux conclusions de l'expertise. Quant à l'intimé, il a tout d'abord émis des critiques par le biais du SMR le 18 octobre 2011 mettant en doute l'incapacité de travail totale comme polisseur. Dans son avis subséquent du 6 juin 2012, le SMR admet cependant une incapacité de travail totale</w:t>
      </w:r>
    </w:p>
    <w:p>
      <w:r>
        <w:t>A/3595/2010 - 17/21 - dans l'activité habituelle depuis le 18 décembre 2008 et retient la date de juin 2009 comme début de l'exigibilité d'une activité adaptée. A cet égard, il convient de confirmer cette date suivant en cela le SMR dès lors que l'experte a clairement indiqué le 16 janvier 2012 que l'état de santé n'avait pas évolué depuis juin 2009 et que la date de janvier 2011 indiquée par l'experte le 29 mai 2012 n'est effectivement pas motivée par celle-ci. S'agissant des critiques émises par le SMR le 18 octobre 2011, il convient de constater qu'elles ne sont pas pertinentes. En effet, il convient de relever que l'experte a constaté, selon son examen clinique, une nette diminution de la mobilité avec sidération de la musculature et a posé le diagnostic de capsulite rétractile, en précisant que celui-ci était justement posé sur la base d'un examen clinique (expertise p. 8), de sorte qu'il n'y a pas de raison objective de remettre en cause les constatations de l'experte par rapport à la considération théorique du SMR, lequel n'a pas mené d'examen clinique de l'assuré, selon laquelle la mobilité de l'épaule n'est pas réduite en raison de l'absence d'atrophie musculaire du membre supérieur gauche, que l'experte a confirmé le diagnostic de tendinopathie du sus-épineux sur la base de l'arthro-IRM de l'épaule gauche du 12 décembre 2008 et du 22 juillet 2010 (expertise p. 7), de sorte que le SMR ne saurait le contester, que l'experte a indiqué précisément en quoi consistait l'activité de polisseur et comment le recourant l'exerçait (expertise p. 4) ainsi que les raisons qui l'empêchaient de l'exercer depuis octobre 2008 (expertise p. 9), que le recourant, dont le bras gauche est le bras dominant, tient l'objet de la main droite et un outil dans la main gauche, qui nécessite de la dextérité, de la fermeté, de la sûreté et de la souplesse, que dans ces conditions on ne voit pas de quelle manière on pourrait exiger du recourant, comme le suggérait le SMR, qu'il effectue la même activité avec le bras bloqué sur le bord de la table, que l'experte a d'ailleurs relevé que le médecin du SMR n'avait pas tenu compte de la spécificité de l'activité professionnelle, soit de pouvoir effectuer correctement des gestes fins requérant de la précision et de la souplesse avec tout le membre supérieur gauche (expertise p. 15), que la limitation des mouvements impliquant l'épaule gauche et l'impossibilité de porter des charges a été posée en fonction de l'enraidissement de l'épaule et non pas en raison de douleurs "non traitées" comme relevé par le SMR (expertise p. 11), qu'enfin, s'agissant de l'observance thérapeutique, l'experte a indiqué que le recourant faisait régulièrement de la physiothérapie, laquelle était le traitement adéquat pour sa pathologie (expertise p. 11), de sorte qu'il n'y a pas lieu d'opérer un contrôle, par le biais de la feuille de pharmacie, d'une prise médicamenteuse qui n'est, selon l'experte, pas exigible. Au vu de ce qui précède, les conclusions de l'expertise doivent être suivies, soit la constatation d'une incapacité totale de travail comme polisseur depuis octobre 2008 et une capacité de travail totale dans une activité adaptée depuis juin 2009.</w:t>
      </w:r>
    </w:p>
    <w:p>
      <w:r>
        <w:t>A/3595/2010 - 18/21 -</w:t>
      </w:r>
    </w:p>
    <w:p>
      <w:r>
        <w:rPr>
          <w:b/>
        </w:rPr>
        <w:t>E. 8</w:t>
      </w:r>
    </w:p>
    <w:p>
      <w:r>
        <w:t>a) Pour calculer le degré d'invalidité, il convient ainsi de se référer à l'année 2009, l’incapacité de travail dans l'activité habituelle, qui perdure, ayant débuté en octobre 2008. b) S'agissant du revenu sans invalidité, l'intimé estime que le revenu réalisé par le recourant auprès de X___________ SA en tant que polisseur ne saurait être pris en compte au motif que le recourant a été licencié pour des raisons étrangères à son état de santé. Cet argument ne saurait être retenu. En effet, à l'époque déterminante pour la comparaison des revenus, soit en 2009, le recourant était encore sous contrat de travail, son licenciement ayant été prononcé le 19 novembre 2010 pour le 28 février 2011, même si, selon l'employeur, son licenciement lui aurait été notifié une première fois en octobre 2008, puis annulé en raison de l'incapacité de travail antérieure (cf. rapport de l'OAI de visite en entreprise du 22 septembre 2010); en toute hypothèse on doit admettre que le recourant, au bénéfice d'un CFC de polisseur et surtout d'une expérience professionnelle comme polisseur depuis de longues années, soit depuis 25 ans au moment de son licenciement, par ailleurs reconnu comme étant un excellent polisseur (rapport OAI de visite en entreprise du 2 septembre 2010) aurait pu mettre celle-ci à profit auprès d'autres entreprises en l'absence d'invalidité (cf. à cet égard ATF du 23 décembre 2005 I 337/2005). Le salaire annuel brut en 2008 du recourant était de 99'598 fr. 25. Selon les données de l'employeur, en 2009 le salaire mensuel de base du recourant était de 7'090 fr. alors qu'il était de 6'950 fr. en 2008, soit une augmentation de 2,01% ; les montants de la participation à l'assurance-maladie et l'allocation de ménage étant inchangés, le revenu annuel brut 2009 aurait ainsi été de 101'554 fr., si le recourant avait continué à travailler comme il l'avait fait en 2008 sans atteinte à la santé (soit 99'598 fr. 25 - [1'560 fr. + 720 fr.] = 97'318 fr. 25, indexé (+2,01 %) = 99'274 fr. 35 + [1'560 fr. + 720 fr.] = 101'554 fr. 35). c) S'agissant du revenu d'invalide, il doit correspondre à celui d'une activité adaptée aux limitations fonctionnelles du recourant et exigible depuis juin 2009. A cet égard, parmi les activités possibles au sein de l'entreprise X___________ SA, il convient de constater que seule l'activité d'employé au contrôle de pièces est sans contestation adaptée aux limitations fonctionnelles du recourant; on ne saurait en effet retenir comme telles l'activité d'employé au rhodiage et celle d'employé au nettoyage de pièces, celles-ci nécessitant selon le recourant soit une formation concernant les produits utilisés soit le port de lourdes charges proscrites par l'experte, ce qui n'est pas contesté par l'intimée. Cependant, il n'y a pas lieu de retenir le salaire que le recourant aurait pu réaliser auprès de son ancien employeur dans une activité de contrôleur de pièces puisqu'il apparaît que, dès son retour en emploi, le licenciement aurait été prononcé et que celui-ci a d'ailleurs été effectif au 28 février 2011, à l'échéance du délai de</w:t>
      </w:r>
    </w:p>
    <w:p>
      <w:r>
        <w:t>A/3595/2010 - 19/21 - protection pour son incapacité de travail due à la maladie (cf. ATF du 15 mai 2012 9C 805/2011). Il n’y a pas lieu non plus de retenir le salaire mensuel pour une activité de contrôleur de pièces engagé par X___________ SA comme étant le salaire pratiqué dans d’autres entreprises, faute d’élément en ce sens, étant encore relevé que l’intimé n’a pas allégué qu’il existerait sur le marché du travail un nombre suffisant de postes relatifs à une telle activité et pour un tel salaire qui permettrait de prendre celui-ci comme base du revenu d’invalide. Au contraire, on peut douter de l'existence d'un nombre suffisant sur le marché du travail de postes de contrôleurs de pièces, le président de l'ASMEBI ayant précisé que seules les grandes entreprises employaient des contrôleurs, postes inexistants dans la plupart des ateliers romands (courrier du 2 octobre 2012), et cette activité étant inconnue de l'ASHB (courrier et courriel du 24 septembre 2012). Par ailleurs, l'intimé se borne à indiquer de manière générale que le recourant peut exercer pour un salaire équivalent à celui de polisseur, une activité adaptée à ses limitations fonctionnelles en raison de ses qualifications et de son expérience professionnelle. Il ne précise cependant aucune activité alors même qu'il a finalement admis que celle, antérieure, de polisseur correspondant à une formation très spécifique, ne peut plus être exercée par le recourant. Au vu de ce qui précède, il convient de se fonder comme salaire d'invalide sur celui issu de l’enquête suisse sur la structure des salaires (ESS) en 2009. Le recourant est titulaire d’un CFC de polisseur mais ne peut plus du tout exercer cette profession de sorte qu’il se justifie de prendre le niveau 4 (activités simples et répétitives) dans le secteur de la production, rubrique fabrication d’instruments de précision, horlogerie (chiffre 33) dont il convient d’admettre qu’elle recouvre des activités légères que le recourant serait à même d’assumer, dans un domaine qu'il a exercé pendant de longues années, soit un revenu mensuel pour un homme de 5'450 fr. Indexé en 2009 (+ 2,1%), ce revenu doit être porté à 5'564 fr. Compte tenu d’une durée hebdomadaire de travail en 2009 de 41,6 h (la vie économique 3-2012 p. 94) alors que les salaires bruts standardisés tiennent compte d’un horaire de travail de 40 h, ce revenu doit être augmenté pour être finalement de 5'787 fr. Le taux d’invalidité est ainsi de 32%, soit : 101'554 - 69'444 = 31,6% 101’554 Ce taux, insuffisant pour ouvrir le droit à une rente, à laquelle le recourant ne conclut d’ailleurs pas, est en revanche supérieur au taux de 20% imposé pour avoir droit à une mesure de reclassement. c) Le recourant requiert l'octroi d'un reclassement dans la profession de sertisseur, à la suite du stage du 20 février au 2 mars 2012 chez Y___________. L'intimé a</w:t>
      </w:r>
    </w:p>
    <w:p>
      <w:r>
        <w:t>A/3595/2010 - 20/21 - d'abord estimé que l'activité de sertisseur n'était pas adaptée aux limitations fonctionnelles du recourant. L’expertise de la Dresse A___________ a conclu le 12 février 2013 à la constatation que l’activité de sertisseur était une activité adaptée aux limitations fonctionnelles du recourant, contrairement à celle de polisseur. Le SMR a suivi cette appréciation, dans son avis du 22 février 2013. Cette expertise est ainsi admise par les parties. Selon le président de l'ASMEBI, l'activité de sertisseur permet d'obtenir un revenu mensuel oscillant entre 6'000 fr. et 10'000 fr. Ce revenu, supérieur à celui de 5'787 fr. calculé ci-dessus, permettrait au recourant d'améliorer sa capacité de gain de manière notable (ATF 124 V 108), de sorte que l'octroi d'une mesure de reclassement dans la profession de bijoutier-sertisseur se justifie, ce d'autant que le recourant a montré une grande motivation pour un tel reclassement, en particulier après avoir effectué le stage de sertisseur auprès de Y___________ en 2012 et qu'il possède déjà une grande expérience dans le domaine de la bijouterie. La formation de sertisseur est prévue dans l'ordonnance de l'OFFT sur la formation professionnelle initiale de bijoutière/bijoutier avec CFC du 8 juillet 2009, entrée en vigueur le 1er janvier 2010, qui précise qu'il existe trois orientations dont le sertissage (art. 1 al. 2 let. c de l'ordonnance) et que la formation initiale est de quatre ans (art. 2 de l'ordonnance). En conséquence, il convient d’admettre que le recourant a droit à une mesure de reclassement dans le métier de bijoutier-sertisseur et de renvoyer la cause à l'intimé afin qu'il mette en œuvre le reclassement en examinant dans quelle mesure la formation du recourant peut être raccourcie en raison de sa formation précédente de polisseur.</w:t>
      </w:r>
    </w:p>
    <w:p>
      <w:r>
        <w:rPr>
          <w:b/>
        </w:rPr>
        <w:t>E. 9</w:t>
      </w:r>
    </w:p>
    <w:p>
      <w:r>
        <w:t>a) Au vu de ce qui précède, le recours sera admis et la décision litigieuse annulée dans la mesure où elle refuse au recourant une mesure de reclassement. b) La loi fédérale du 16 décembre 2005 modifiant la loi fédérale sur l'assurance- invalidité est entrée en vigueur le 1er juillet 2006 (RO 2006 2003), apporte des modifications qui concernent notamment la procédure conduite devant la Chambre des assurances sociales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Vu l’issue du litige une indemnité de 3'000 fr. sera allouée au recourant à charge de l’intimé et un émolument de 200 fr. sera mis à la charge de l’intimé (art. 69 al. 1bis LAI).</w:t>
      </w:r>
    </w:p>
    <w:p>
      <w:r>
        <w:t>A/3595/2010 - 21/21 -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