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ATAS/373/2020 vom 14. Mai 2020</w:t>
      </w:r>
    </w:p>
    <w:p>
      <w:r>
        <w:t>GE Cour de justice, 2020-05-14, FR</w:t>
      </w:r>
    </w:p>
    <w:p>
      <w:r>
        <w:rPr>
          <w:b/>
        </w:rPr>
        <w:t xml:space="preserve">Quelle: </w:t>
      </w:r>
      <w:r>
        <w:t>https://mcp.opencaselaw.ch/entscheid/ge_gerichte_ATAS_373_2020</w:t>
      </w:r>
    </w:p>
    <w:p>
      <w:r>
        <w:t>FR: GE_GERICHTE ATAS/373/2020 du 14 mai 2020</w:t>
      </w:r>
    </w:p>
    <w:p>
      <w:r>
        <w:t>IT: GE_GERICHTE ATAS/373/2020 del 14 maggio 2020</w:t>
      </w:r>
    </w:p>
    <w:p>
      <w:pPr>
        <w:pStyle w:val="Heading2"/>
      </w:pPr>
      <w:r>
        <w:t>Erwägungen</w:t>
      </w:r>
    </w:p>
    <w:p>
      <w:r>
        <w:rPr>
          <w:b/>
        </w:rPr>
        <w:t>E. 2</w:t>
      </w:r>
    </w:p>
    <w:p>
      <w:r>
        <w:t>Par pli du 10 septembre 2019, l’intéressée a interjeté recours auprès de la Cour de céans. Elle souligne être une association à but non lucratif et employer, en tant que telle, des personnes en réinsertion au bénéfice de l'aide sociale et des jeunes boursiers d'étude pour des travaux ponctuels. Aucun de ses employés n'est « fixe », hormis son directeur. Partant, elle estime ne pas devoir verser de cotisation annuelle.</w:t>
      </w:r>
    </w:p>
    <w:p>
      <w:r>
        <w:rPr>
          <w:b/>
        </w:rPr>
        <w:t>E. 3</w:t>
      </w:r>
    </w:p>
    <w:p>
      <w:r>
        <w:t>Invitée à se déterminer, l'intimée, dans sa réponse du 24 septembre 2019, a conclu au rejet du recours.</w:t>
      </w:r>
    </w:p>
    <w:p>
      <w:r>
        <w:rPr>
          <w:b/>
        </w:rPr>
        <w:t>E. 4</w:t>
      </w:r>
    </w:p>
    <w:p>
      <w:r>
        <w:t>Dans sa réplique du 23 septembre 2019, la recourante a persisté dans ses conclusions. Elle allègue avoir été exonérée d'impôts « cantonaux et communaux » pour l'année 2017, n’avoir pas modifié son statut depuis et être dans l'attente d'un nouvel avis de taxation pour l'année 2018.</w:t>
      </w:r>
    </w:p>
    <w:p>
      <w:r>
        <w:rPr>
          <w:b/>
        </w:rPr>
        <w:t>E. 5</w:t>
      </w:r>
    </w:p>
    <w:p>
      <w:r>
        <w:t>En l'espèce, la recourante, tenue de s'affilier à une caisse d'allocations familiales et tenue de payer des contributions conformément aux articles 23 al. 1 et 27 LAF, est astreinte au paiement de la cotisation de formation professionnelle au sens de l'art. 62 LFP. En effet, la loi ne prévoit pas d’exception permettant de déroger à l’obligation de cotiser instituée par l’art. 63 LFP. Par conséquent, même si l’employeur est une association à but non lucratif exonérée d'impôts, il n’est pas dispensé de son obligation. Quant au fait que la recourante n’ait pas d’employé « fixe », hormis son directeur, il n’est pas non plus relevant. Le montant de la cotisation 2019 a été fixé par le Conseil d’État en septembre 2018 à CHF 31.- par salarié occupé en décembre 2017, et ce, peu importe le taux d’activité des salariés.</w:t>
      </w:r>
    </w:p>
    <w:p>
      <w:r>
        <w:t>A/3278/2019 - 4/5 - Il n'est pas contesté que la recourante comptait huit salariés en décembre 2017 à teneur de l'attestation de salaires fournie par ses soins. C’est dès lors à juste titre que la caisse lui a réclamé le paiement de CHF 248.- à titre de cotisation de formation professionnelle pour l’année 2019.</w:t>
      </w:r>
    </w:p>
    <w:p>
      <w:r>
        <w:rPr>
          <w:b/>
        </w:rPr>
        <w:t>E. 6</w:t>
      </w:r>
    </w:p>
    <w:p>
      <w:r>
        <w:t>Partant, la décision litigieuse ne peut qu'être confirmée. Le recours, mal fondé, est donc rejeté. Pour le surplus, la procédure est gratuite (art. 89H al. 1 LPA).</w:t>
      </w:r>
    </w:p>
    <w:p>
      <w:r>
        <w:t>A/3278/2019 - 5/5 -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