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ATAS/373/2009 vom 26. März 2009</w:t>
      </w:r>
    </w:p>
    <w:p>
      <w:r>
        <w:t>GE Cour de justice, 2009-03-26, FR</w:t>
      </w:r>
    </w:p>
    <w:p>
      <w:r>
        <w:rPr>
          <w:b/>
        </w:rPr>
        <w:t xml:space="preserve">Quelle: </w:t>
      </w:r>
      <w:r>
        <w:t>https://mcp.opencaselaw.ch/entscheid/ge_gerichte_ATAS_373_2009</w:t>
      </w:r>
    </w:p>
    <w:p>
      <w:r>
        <w:t>FR: GE_GERICHTE ATAS/373/2009 du 26 mars 2009</w:t>
      </w:r>
    </w:p>
    <w:p>
      <w:r>
        <w:t>IT: GE_GERICHTE ATAS/373/2009 del 26 marzo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 l'assurance-accidents. Dans la mesure où la question qui se pose est celle de savoir si le trouble présentement en cause peut ouvrir droit à des prestations pour la période postérieure au 29 février 2008, il y a lieu d'examiner le cas à l'aune du nouveau droit (ATF 130 V 329).</w:t>
      </w:r>
    </w:p>
    <w:p>
      <w:r>
        <w:rPr>
          <w:b/>
        </w:rPr>
        <w:t>E. 3</w:t>
      </w:r>
    </w:p>
    <w:p>
      <w:r>
        <w:t>Déposé dans les forme et délai légaux, le recours est recevable, de sorte qu'il convient d'entrer en matière.</w:t>
      </w:r>
    </w:p>
    <w:p>
      <w:r>
        <w:rPr>
          <w:b/>
        </w:rPr>
        <w:t>E. 4</w:t>
      </w:r>
    </w:p>
    <w:p>
      <w:r>
        <w:t>Le litige porte sur le point de savoir si la recourante a droit à des prestations de l'assurance-accidents au-delà du 29 février 2008.</w:t>
      </w:r>
    </w:p>
    <w:p>
      <w:r>
        <w:rPr>
          <w:b/>
        </w:rPr>
        <w:t>E. 5</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w:t>
      </w:r>
    </w:p>
    <w:p>
      <w:r>
        <w:t>A/2253/2008 - 7/10 -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w:t>
      </w:r>
    </w:p>
    <w:p>
      <w:r>
        <w:rPr>
          <w:b/>
        </w:rPr>
        <w:t>E. 6</w:t>
      </w:r>
    </w:p>
    <w:p>
      <w:r>
        <w:t>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w:t>
      </w:r>
    </w:p>
    <w:p>
      <w:r>
        <w:t>A/2253/2008 - 8/10 -</w:t>
      </w:r>
    </w:p>
    <w:p>
      <w:r>
        <w:rPr>
          <w:b/>
        </w:rPr>
        <w:t>E. 7</w:t>
      </w:r>
    </w:p>
    <w:p>
      <w:r>
        <w:t>En l’espèce, force est de constater que les conclusions du médecin-traitant rejoignent celles du Dr M__________ s’agissant de la relation de causalité naturelle. Tous deux arrivent à la conclusion que celle-ci n’existe plus désormais. A cet égard, il convient de se référer aux explications du Dr M__________, à savoir qu’une kératite se soigne généralement en quelques jours, d’autant que cette kératite a été qualifiée par les HUG de superficielle dans le cas présent et que ces derniers ont d’ailleurs considéré le traitement comme terminé dès la fin de l’année 2005 déjà. Quant aux doutes émis par le Dr M__________ quant au diagnostic de sécheresse oculaire posé par le Dr L__________, ils apparaissent corroborés par le fait que les HUG n’avaient pas non plus retenu ce diagnostic. En conséquence, l'absence de lien de causalité naturelle - question dont il convient de rappeler qu’elle doit être tranchée sur la base des données médicales en présence - est démontrée par les rapports des Drs M__________ et L__________. Étant rappelé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c’est à bon droit que l’intimée a mis un terme à la prise en charge des soins médicaux au 29 février 2008. Le fait que le recourant dise ne jamais avoir rencontré de problèmes ophtalmologiques avant l’accident ne saurait conduire à un résultat contraire, étant rappelé que, selon la jurisprudence, le seul fait que des symptômes douloureux ne se sont manifestés qu'après la survenance d'un accident ne suffit pas à établir un rapport de causalité avec cet accident (raisonnement «post hoc, ergo propter hoc»; cf. ATF 119 V 341ss consid. 2b/bb; RAMA 1999 no U 341 p. 408ss consid. 3b; arrêt A. du 31 juillet 2001 [U 492/00] consid. 3c).</w:t>
      </w:r>
    </w:p>
    <w:p>
      <w:r>
        <w:rPr>
          <w:b/>
        </w:rPr>
        <w:t>E. 8</w:t>
      </w:r>
    </w:p>
    <w:p>
      <w:r>
        <w:t>a) Enfin, l’intéressé semble également contester le refus de l’intimée de lui allouer une indemnité pour atteinte à l’intégrité. b) Aux termes de l’art. 24 al. 1 LAA, si, par suite de l’accident, l’assuré souffre d’une atteinte importante et durable à son intégrité physique, mentale ou psychique, il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w:t>
      </w:r>
    </w:p>
    <w:p>
      <w:r>
        <w:t>A/2253/2008 - 9/10 - De plus, une atteinte à l'intégrité n'ouvre droit à une indemnisation que si elle est durable. c) En l’espèce, force est de constater que malgré la gêne que le recourant dit continuer à éprouver, sa capacité de travail n’a pas été affectée plus de quelques jours après l’évènement et les médecins n’ont pas été en mesure d’objectiver une quelconque lésion somatique chez lui, suite à l’événement. On ne saurait donc considérer les conditions d’octroi d’une indemnité pour atteinte à l’intégrité comme remplies en l’occurrence.</w:t>
      </w:r>
    </w:p>
    <w:p>
      <w:r>
        <w:rPr>
          <w:b/>
        </w:rPr>
        <w:t>E. 9</w:t>
      </w:r>
    </w:p>
    <w:p>
      <w:r>
        <w:t>Enfin, l'appréciation des preuves exposées ci-dessus ayant permis au Tribunal de céans de définir, au degré de la vraisemblance prépondérante, les faits pertinents, point n'est besoin de mettre sur pied une expertise judiciaire comme le propose le recourant (cf.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relatifs à l'appréciation anticipée des preuves).</w:t>
      </w:r>
    </w:p>
    <w:p>
      <w:r>
        <w:rPr>
          <w:b/>
        </w:rPr>
        <w:t>E. 10</w:t>
      </w:r>
    </w:p>
    <w:p>
      <w:r>
        <w:t>Eu égard aux considérations qui précèdent, le recours est rejeté.</w:t>
      </w:r>
    </w:p>
    <w:p>
      <w:r>
        <w:t>A/2253/2008 - 10/10 -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