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ATAS/372/2020 vom 14. Mai 2020</w:t>
      </w:r>
    </w:p>
    <w:p>
      <w:r>
        <w:t>GE Cour de justice, 2020-05-14, FR</w:t>
      </w:r>
    </w:p>
    <w:p>
      <w:r>
        <w:rPr>
          <w:b/>
        </w:rPr>
        <w:t xml:space="preserve">Quelle: </w:t>
      </w:r>
      <w:r>
        <w:t>https://mcp.opencaselaw.ch/entscheid/ge_gerichte_ATAS_372_2020</w:t>
      </w:r>
    </w:p>
    <w:p>
      <w:r>
        <w:t>FR: GE_GERICHTE ATAS/372/2020 du 14 mai 2020</w:t>
      </w:r>
    </w:p>
    <w:p>
      <w:r>
        <w:t>IT: GE_GERICHTE ATAS/372/2020 del 14 maggio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Aux termes de l’art. 60 LPGA, le recours doit être déposé dans les trente jours suivant la notification de la décision sujette à recours (al. 1). Les art. 38 à 41 sont applicables par analogie (al. 2). Si le délai, compté par jours ou par mois, doit être communiqué aux parties, il commence à courir le lendemain de la communication (art. 38 al. 1 LPGA). Les délais en jours ou en mois fixés par la loi ou par l’autorité ne courent pas du 15 juillet au 15 août inclusivement (art. 38 al. 4 let. a et b LPGA). Interjeté dans la forme et le délai prévus par la loi, compte tenu de la suspension des délais du 15 juillet au 15 août inclusivement, le recours est recevable (art. 38 al.</w:t>
      </w:r>
    </w:p>
    <w:p>
      <w:r>
        <w:t>A/3187/2019 - 9/17 -</w:t>
      </w:r>
    </w:p>
    <w:p>
      <w:r>
        <w:rPr>
          <w:b/>
        </w:rPr>
        <w:t>E. 4</w:t>
      </w:r>
    </w:p>
    <w:p>
      <w:r>
        <w:t>L'assuré a droit à une rente lorsqu'il a présenté une incapacité de travail (art. 6 LPGA) d'au moins 40% en moyenne durant une année sans interruption notable et qu'au terme de cette année, il est invalide (art. 8 LPGA) à 40% au moins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 taux d'invalidité d'une personne exerçant une activité lucrative est fixé d'après la comparaison des revenus prévue par l'art. 16 LPGA (méthode générale). Il s'agit de comparer le revenu de l'assuré perçu avant invalidité avec celui obtenu après invalidité, respectivement qu'il aurait pu obtenir en exerçant l'activité qui peut être raisonnablement exigée de l'assuré après les traitements et les mesures de réadaptation sur un marché du travail équilibré.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La méthode générale de comparaison des revenus comporte trois variantes : (i) la comparaison sur la base de revenus suffisamment précis, (ii) lorsque la précédente variante n'est pas</w:t>
      </w:r>
    </w:p>
    <w:p>
      <w:r>
        <w:t>A/3187/2019 - 10/17 - possible, la comparaison sur la base de revenus estimés en chiffres (estimation chiffrée des revenus) et enfin (iii) la comparaison des pourcentages (arrêt du Tribunal fédéral I 152/02 du 15 janvier 2003 consid. 2.1 ; Michel VALTERIO, Droit de l'assurance-vieillesse et survivants (AVS) et de l'assurance-invalidité, 2011, no 2078). En outre,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132 V 393 consid. 2.1, 129 V 222 consid. 4.1 et 4.2 et 128 V 174 ; arrêt du Tribunal fédéral 9C_363/2016 du 12 décembre 2016 consid. 5.3).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Au regard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De simples possibilités théoriques n'entrent pas en ligne de compte (ATF 139 V 28 consid. 3.3.2 p. 30, 135 V 58 consid. 3.1 p. 59 et la réf. cit. ; arrêt du TF 9C_33/2016 du 16 août 2016 consid. 7 ; VALTERIO, op. cit., n° 2091). Quant au revenu d'invalide, il doit être évalué avant tout en fonction de la situation professionnelle concrète de l'assuré. En règle générale, lorsqu'il exerce une activité, il faut admettre que le gain effectivement réalisé équivaut à une prestation de salaire correspondante. La prise en compte du revenu effectivement réalisé est subordonnée à certaines conditions cumulatives, à savoir des rapports de travail particulièrement stables, une activité mettant pleinement en valeur la capacité de travail résiduelles exigible et enfin, un gain correspondant au rendement effectivement fourni ne contenant pas d'éléments de salaire social (arrêt du TF 9C_140/2018 du 30 mai 2018 consid. 4.2 et 9C_869/2017 du 4 mai 2018 consid. 6 ; VALTERIO, op. cit., n° 2118). En l'absence d'un revenu effectivement réalisé - soit lorsque la personne assurée, après la survenance de l'atteinte à la santé, n'a pas repris d'activité lucrative ou alors aucune activité normalement exigible -, le revenu d'invalide doit être évalué sur la base de salaires fondés sur des données statistiques.</w:t>
      </w:r>
    </w:p>
    <w:p>
      <w:r>
        <w:t>A/3187/2019 - 11/17 - Selon la jurisprudence, il est possible de fixer la perte de gain d'un assuré directement sur la base de son incapacité de travail en faisant une comparaison en pour-cent. Cette méthode constitue une variante admissible de la comparaison des revenus basée sur des données statistiques: le revenu hypothétique réalisable sans invalidité équivaut alors à 100 %, tandis que le revenu d'invalide est estimé à un pourcentage plus bas, la différence en pour-cent entre les deux valeurs exprimant le taux d'invalidité (arrêts 8C_628/2015 du 6 avril 2016 consid. 5.3.5 et 8C_211/2013 du 3 octobre 2013 consid. 4.1 in SVR 2014 UV n° 1 p. 1; Meyer/Reichmuth, Bundesgesetz über die Invalidenversicherung [IVG], 3ème éd. 2014, n. 35 s. ad art. 28a LAI).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 arrêts du Tribunal fédéral 9C_237/2016 du 24 août 2016 consid. 2.2 ; 9C_225/2016 du 14 juillet 2016 consid. 6.2.2-6.2.3, 9C_100/2010 du 23 mars 2010 consid. 2.1).</w:t>
      </w:r>
    </w:p>
    <w:p>
      <w:r>
        <w:rPr>
          <w:b/>
        </w:rPr>
        <w:t>E. 6</w:t>
      </w:r>
    </w:p>
    <w:p>
      <w:r>
        <w:t>Selon l'art. 17 al. 1 LPGA, si le taux d'invalidité du bénéficiaire de la rente subit une modification notable, la rente est, d'office ou sur demande, révisée pour l'avenir, à savoir augmentée ou réduite en conséquence, ou encore supprimée. Aux termes de l'art. 87 al. 1 let. b du règlement du 17 janvier 1961 sur l'assurance- invalidité (RAI, RS 831.201), la rente est révisée d'office lorsque des organes de l'assurance ont connaissance de faits ou ordonnent des mesures qui peuvent entraîner une modification importante du taux d'invalidité, du degré d'impotence ou encore du besoin de soins ou du besoin d'aide découlant de l'invalidité.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134 V 131 consid. 3, 130 V 343 consid. 3.5 ; Valterio, op. cit., n° 3063). Une simple appréciation différente d'un état de fait qui, pour l'essentiel, est demeuré inchangé, n'appelle en revanche pas à une révision au sens de l'art. 17 LPGA (arrêts du Tribunal fédéral I 532/05 du 13 juillet 2006 consid. 3 et I 561/05 du 31 mars 2006 consid. 3.3 ; ATF 112 V 371 consid. 2b). Un motif de révision doit clairement ressortir du dossier. La réglementation sur la révision ne saurait en effet constituer un fondement juridique à un réexamen sans condition du droit à la rente (arrêt du Tribunal fédéral I 8/04 du 12 octobre 2005 consid. 2.1 ; VALTERIO, op. cit., nos 3054ss). À teneur de l'art. 31 al. 1 LAI, si un assuré ayant droit à une rente perçoit un nouveau revenu ou que son revenu existant augmente, sa rente n'est révisée, conformément à l'art. 17 al. 1 LPGA, que si l'amélioration du revenu dépasse</w:t>
      </w:r>
    </w:p>
    <w:p>
      <w:r>
        <w:t>A/3187/2019 - 12/17 - CHF 1'500.- par an. Par ailleurs, la révision ne doit tenir compte que de la part de l’amélioration du revenu qui n’est pas liée au renchérissement (art. 86ter RAI). La question de savoir si on est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w:t>
      </w:r>
    </w:p>
    <w:p>
      <w:r>
        <w:rPr>
          <w:b/>
        </w:rPr>
        <w:t>E. 7</w:t>
      </w:r>
    </w:p>
    <w:p>
      <w:r>
        <w:t>Selon l'art. 53 al. 1 LPGA, les décisions formellement passées en force sont soumises à révision si l'assuré ou l'assureur découvre subséquemment des faits nouveaux importants ou trouve des nouveaux moyens de preuve qui ne pouvaient être produits auparavant. Sont "nouveaux"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Ainsi, il ne suffit pas qu'un nouveau rapport médical donne une appréciation différente des faits; il faut bien plutôt des éléments de fait nouveaux, dont il résulte que les bases de la décision entreprise comportaient des défauts objectifs. Pour justifier la révision d'une décision, il ne suffit pas que le médecin ou l'expert tire ultérieurement, des faits connus au moment du jugement principal, d'autres conclusions que l'administration ou le tribunal.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arrêt du Tribunal fédéral 9C_365/2015 du 6 janvier 2016 consid. 3.1).</w:t>
      </w:r>
    </w:p>
    <w:p>
      <w:r>
        <w:rPr>
          <w:b/>
        </w:rPr>
        <w:t>E. 8</w:t>
      </w:r>
    </w:p>
    <w:p>
      <w:r>
        <w:t>Selon un principe général du droit des assurances sociales, désormais codifié à l'art. 53 al. 2 LPGA, l'administration peut reconsidérer une décision formellement passée en force de chose jugée et sur laquelle une autorité judiciaire ne s'est pas prononcée quant au fond, à condition qu'elle soit sans nul doute erronée et que sa rectification revête une importance notable (ATF 133 V 50, consid. 4.1 et 4.2.1 ; 127 V 466 consid. 2c p. 469 et les références). Pour juger s'il est admissible de reconsidérer une décision, au motif qu'elle est sans nul doute erronée, il faut se fonder sur la situation juridique existant au moment où cette décision a été rendue, compte tenu de la pratique en vigueur à l'époque (ATF 119 V 475 consid. 1b/cc p. 479, 117 V 8 consid. 2c p. 17 et les références). Cette réglementation l’emporte sur celle de la révision au sens de l’art. 17 LPGA (ATF 130 V 343 consid. 3.5). Ainsi, l’administration peut aussi modifier une décision de rente lorsque les</w:t>
      </w:r>
    </w:p>
    <w:p>
      <w:r>
        <w:t>A/3187/2019 - 13/17 - conditions de la révision selon l’art. 17 LPGA ne sont pas remplies (arrêt du Tribunal fédéral des assurances I 302/04 du 27 mars 2006 consid. 4.5). Selon la jurisprudence, une décision est sans nul doute erronée lorsqu'elle a été rendue sur la base de normes fausses ou non pertinentes ou que les dispositions pertinentes n'ont pas été appliquées ou l'ont été de manière erronée. En règle générale, l'octroi illégal de prestations est réputé sans nul doute erroné (ATF 126 V 401 consid. 2b/bb et les références).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de l'époque (SVR 2006 UV n° 17 p. 60 [U 378/05] consid. 5.3 et les arrêts cités; arrêt B. du 19 décembre 2002, I 222/02 consid. 3.2).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Conformément à ce qui vient d’être dit,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w:t>
      </w:r>
    </w:p>
    <w:p>
      <w:r>
        <w:t>A/3187/2019 - 14/17 -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w:t>
      </w:r>
    </w:p>
    <w:p>
      <w:r>
        <w:rPr>
          <w:b/>
        </w:rPr>
        <w:t>E. 9</w:t>
      </w:r>
    </w:p>
    <w:p>
      <w:r>
        <w:t>En l’espèce, dans sa décision de suppression de rente de juillet 2016, l’intimé a retenu que l’état de santé du recourant était stable, mais que ses revenus n’avaient pas diminué depuis l’atteinte à la santé, de sorte qu’à défaut d’une perte de gain, la décision initiale d’octroi d’une demi-rente se révélait manifestement erronée. Saisie d’un recours de l’assuré, la Cour de céans, dans son arrêt du 25 janvier 2017, a annulé cette décision et renvoyé la cause à l’intimé. La Cour a relevé que la décision de suppression de rente, insuffisamment motivée, n’expliquait pas en quoi la décision d’octroi de rente était manifestement erronée. En outre, l’OAI avait renoncé, sans explications, à investiguer les raisons pour lesquelles les revenus de l’assuré n’avaient pas diminué, bien que son propre service ait préconisé de le faire. L’OAI n’avait pas davantage indiqué pourquoi les explications documentées du recourant ne lui paraissaient pas probantes. Suite à ce renvoi, l’OAI a requis la production des certificats de salaire 2008 à 2015 de l’assuré et de tous les accords portant sur le montant de sa rémunération. Après examen des dits certificats de salaire, bilans de la société et du courrier dans lequel l’assuré réaffirmait avoir accepté de réduire transitoirement son salaire, moyennant des compensations en 2012 et 2013, l’OAI a rendu une nouvelle décision de suppression de rente le 2 juillet 2019.</w:t>
      </w:r>
    </w:p>
    <w:p>
      <w:r>
        <w:rPr>
          <w:b/>
        </w:rPr>
        <w:t>E. 10</w:t>
      </w:r>
    </w:p>
    <w:p>
      <w:r>
        <w:t>a. Comme cela ressort des considérants qui précèdent, pour pouvoir supprimer le droit à une rente par la voie de la reconsidération, il convient d'établir - au regard de la situation de fait et de droit de l'époque - qu'une évaluation correcte de l'invalidité aurait conduit à un autre résultat que celui alors retenu (arrêt du Tribunal fédéral 9C_575/2007 du 18 octobre 2007, consid. 3.3 in fine et les références; arrêt du Tribunal fédéral des assurances I 302/04 du 27 mars 2006, consid. 5.2.1 in fine). En l'occurrence, même si la non-diminution de revenu invoquée par l’intimé peut éveiller certains doutes quant à la perte de gain subie par l’assuré, il n’est pas établi que le résultat auquel l’OAI a abouti à l'époque de sa décision initiale était insoutenable et qu'une gestion diligente du dossier aurait conduit à la seule solution réellement envisageable dans le contexte. Selon la jurisprudence, il est possible de fixer la perte de gain d'un assuré directement sur la base de son incapacité de travail en faisant une comparaison en pour-cent, notamment lorsque l'activité exercée précédemment est encore possible (en raison par exemple du fait que le contrat de travail n'a pas été résilié), ou encore lorsque cette activité offre de meilleures possibilités de réintégration professionnelle (arrêt du Tribunal fédéral 9C_237/2016 du 24 août 2016 consid. 2.2 et les références). Or, dans la mesure où la profession</w:t>
      </w:r>
    </w:p>
    <w:p>
      <w:r>
        <w:t>A/3187/2019 - 15/17 - exercée par le recourant avant et après l’atteinte à la santé était la même, il n’était pas insoutenable que l’OAI évalue sa perte de gain directement sur la base du taux d’incapacité de travail attesté par le corps médical. Entendue en audience, la représentante de l’intimé l’a d’ailleurs reconnu, en déclarant : « [n]ous avions considéré que l’incapacité de travail se confondait avec l’incapacité de gain parce que la capacité de travail retenue était de 50% dans l’activité habituelle, qui était adaptée. C’est une pratique générale dans ce type de situation. […] Théoriquement, la décision était soutenable. Après, il faut regarder dans chaque cas particulier […] » (cf. procès-verbal d’audience du 25 janvier 2017, p. 2). Certes, on peut se demander si l’intimé n’aurait pas dû investiguer davantage (par exemple en réclamant des déclarations fiscales intégrales) la question du taux d’activité exercé par l’assuré avant et après la survenance de l’atteinte, mais, quoi qu’il en soit, l’intimé n’a pas jugé utile d’instruire plus avant ce point et l’on ne trouve pas au dossier de preuve que les taux sur lesquels il s’est fondé – 100% avant l’atteinte et 50% après l’atteinte – ne correspondraient pas à la réalité. Aussi, le fait que l’intimé se soit borné, en 2011, à reprendre le taux d'incapacité de travail retenu par les médecins, sans procéder à une comparaison des revenus chiffrée ne permet-il pas encore de conclure au caractère manifestement erroné – c’est-à-dire sans aucun doute possible – de la décision initiale de rente. Pour supprimer le droit à la rente par voie de reconsidération, il convient de procéder à une appréciation à la lumière des circonstances de fait et de droit existant à l'époque de la décision initiale de rente, en 2011, non de réexaminer le calcul du degré d’invalidité sur la base de circonstances postérieures au prononcé de cette décision. En constatant, dans sa décision de suppression de rente, que « le salaire effectif n’a pas été diminué de manière notable depuis la décision d’octroi de rente du 1er août 2011 », constatation qui repose essentiellement sur les salaires perçus dès 2012 selon l’extrait de compte individuel AVS (cf. note interne du 4 février 2016) ainsi que sur les certificats de salaire obtenus dans le cadre de la procédure de révision, l’intimé procède en réalité à une nouvelle appréciation de la situation après un examen plus approfondi des faits, sur la base de documents postérieurs au prononcé de sa décision initiale. Ce faisant, il n’établit pas que les conditions d'une reconsidération sont réunies (arrêt du Tribunal fédéral 9C_71/2008 du 14 mars 2008 consid. 3 et les références). b. Les renseignements recueillis par l’intimé dans le cadre de la procédure de révision pourraient motiver une révision au sens de l'art. 17 LPGA, s’ils mettaient en évidence une modification notable de l'état de santé ou des circonstances économiques par rapport à la situation existant au moment de la décision initiale de rente (ATF 130 V 343 consid. 3.5). L’intimé ne soutient pas que l’une ou l’autre de ces hypothèses serait réalisée en l’espèce. En outre, il convient de rappeler que,</w:t>
      </w:r>
    </w:p>
    <w:p>
      <w:r>
        <w:t>A/3187/2019 - 16/17 - lorsque le revenu du bénéficiaire de rente augmente, une révision pour ce motif n’est possible que si l'amélioration du revenu dépasse CHF 1'500.- par an, abstraction faite de l’amélioration liée au renchérissement (art. 31 al. 1 LAI et 86ter RAI). Une telle amélioration – non invoquée par l’intimé – ne paraît pas établie à ce stade, au vu des salaires ressortant de l’extrait de compte individuel AVS (le recourant percevait un salaire de CHF 62'500.- lors de la suppression de la rente en 2016 et de CHF 60'316.- lors de l’octroi de la rente en 2011, soit CHF 62'408.- si l’on tient compte du renchérissement entre 2011 et 2016, selon l’indice suisse des salaires [CHF 60’316 x (2'386 / 2’306] = CHF 62'408.-). c. Enfin, on pourrait envisager une révision procédurale au sens de l’art. 53 al. 1 LPGA, si l’intimé avait découvert des faits « nouveaux » importants – antérieurs au prononcé de la décision d’octroi de rente, mais qui lui étaient inconnus à l’époque, malgré toute sa diligence – ou des moyens de preuve qui ne pouvaient être produits auparavant. La révision procédurale est soumise aux délais prévus par l’art. 67 de la loi fédérale sur la procédure administrative (PA), à savoir un délai relatif de nonante jours dès la découverte du motif de révision et un délai absolu de dix ans qui commence à courir avec la notification de la décision. En l’occurrence, l’intimé ne se prévaut pas non plus d’une révision procédurale, pas plus qu’il ne met en évidence de fait juridiquement déterminant, antérieur à sa décision d’octroi de rente et qu’il aurait ignoré à l’époque, malgré toute sa diligence. Une révision au sens de l’art. 53 al. 1 LPGA n’est donc pas envisageable en l’état. d. De ce qui précède, il résulte que l’intimé n’était pas fondé à supprimer, par voie de reconsidération, la demi-rente d’invalidité accordée à l’assuré. À ce jour, l’intimé n’a pas davantage établi, ni même invoqué, l’existence d’un motif de révision. Partant, le recours doit être admis et la décision du 2 juillet 2019, annulée. Le recourant a droit au maintien de la demi-rente d’invalidité au-delà du 31 août 2016.</w:t>
      </w:r>
    </w:p>
    <w:p>
      <w:r>
        <w:rPr>
          <w:b/>
        </w:rPr>
        <w:t>E. 11</w:t>
      </w:r>
    </w:p>
    <w:p>
      <w:r>
        <w:t>Le recourant obtenant gain de cause, une indemnité de CHF 4'000.- lui est accordée à titre de participation à ses frais et dépens, à charge de l'intimé (art. 61 let. g LPGA ; art. 89H al. 3 LPA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1’000.- est mis à charge de l'intimé (art. 69 al. 1 bis LAI). * * * * * *</w:t>
      </w:r>
    </w:p>
    <w:p>
      <w:r>
        <w:t>A/3187/2019 - 17/17 -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