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ATAS/372/2008 vom 1. April 2008</w:t>
      </w:r>
    </w:p>
    <w:p>
      <w:r>
        <w:t>GE Cour de justice, 2008-04-01, FR</w:t>
      </w:r>
    </w:p>
    <w:p>
      <w:r>
        <w:rPr>
          <w:b/>
        </w:rPr>
        <w:t xml:space="preserve">Quelle: </w:t>
      </w:r>
      <w:r>
        <w:t>https://mcp.opencaselaw.ch/entscheid/ge_gerichte_ATAS_372_2008</w:t>
      </w:r>
    </w:p>
    <w:p>
      <w:r>
        <w:t>FR: GE_GERICHTE ATAS/372/2008 du 1 avril 2008</w:t>
      </w:r>
    </w:p>
    <w:p>
      <w:r>
        <w:t>IT: GE_GERICHTE ATAS/372/2008 del 1 aprile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article 142 code civil). Sa compétence pour juger du cas d’espèce est ainsi établie.</w:t>
      </w:r>
    </w:p>
    <w:p>
      <w:r>
        <w:rPr>
          <w:b/>
        </w:rPr>
        <w:t>E. 2</w:t>
      </w:r>
    </w:p>
    <w:p>
      <w:r>
        <w:t>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3</w:t>
      </w:r>
    </w:p>
    <w:p>
      <w:r>
        <w:t>Le litige comporte une demande en condamnation au paiement des cotisations échues ainsi qu'une demande en mainlevée de l'opposition faite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w:t>
      </w:r>
    </w:p>
    <w:p>
      <w:r>
        <w:t>A/3851/2007 - 4/5 -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le Tribunal de céans tient pour établi qu'en sa qualité d'employeur occupant des salariés, la défenderesse devait obligatoirement être affiliée à une caisse de prévoyance professionnelle, ce qui du reste n'est pas contesté. Il convient par ailleurs d'admettre que les décomptes de la Fondation portant sur les années sont exacts. En effet, il ressort de l'ensemble des pièces produites par la demanderesse que la défenderesse est demeurée débitrice d'un montant de 16'959.65 en mars 2007, ramené à 15'876.25 le 6 août 2007, correspondant aux cotisations des employés dues à cette date pour les années en cause. En outre, la simple passivité de la débitrice, celle-ci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aux art. 5.4 du contrat d'affiliation et 2.1 du règlement pour frais de gestion, remis à la société lors de la décision d'affiliation. Pour tous ces motifs, il y a lieu d'admettre la demande et de prononcer la mainlevée définitive de l'opposition au commandement de payer, à concurrence de la somme réclamée.</w:t>
      </w:r>
    </w:p>
    <w:p>
      <w:r>
        <w:rPr>
          <w:b/>
        </w:rPr>
        <w:t>E. 6</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w:t>
      </w:r>
    </w:p>
    <w:p>
      <w:r>
        <w:t>A/3851/2007 - 5/5 -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