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ATAS/371/2021 vom 26. April 2021</w:t>
      </w:r>
    </w:p>
    <w:p>
      <w:r>
        <w:t>GE Cour de justice, 2021-04-26, FR</w:t>
      </w:r>
    </w:p>
    <w:p>
      <w:r>
        <w:rPr>
          <w:b/>
        </w:rPr>
        <w:t xml:space="preserve">Quelle: </w:t>
      </w:r>
      <w:r>
        <w:t>https://mcp.opencaselaw.ch/entscheid/ge_gerichte_ATAS_371_2021</w:t>
      </w:r>
    </w:p>
    <w:p>
      <w:r>
        <w:t>FR: GE_GERICHTE ATAS/371/2021 du 26 avril 2021</w:t>
      </w:r>
    </w:p>
    <w:p>
      <w:r>
        <w:t>IT: GE_GERICHTE ATAS/371/2021 del 26 aprile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La modification du 21 juin 2019 de la LPGA, entrée en vigueur le 1er janvier 2021, n'est pas applicable au présent recours dans la mesure où il était alors pendant devant la chambre de céans, conformément à l’art. 83 LPGA.</w:t>
      </w:r>
    </w:p>
    <w:p>
      <w:r>
        <w:rPr>
          <w:b/>
        </w:rPr>
        <w:t>E. 3</w:t>
      </w:r>
    </w:p>
    <w:p>
      <w:r>
        <w:t>Le recours, déposé dans les forme et délai prévus par la loi (art. 56ss LPGA), est recevable.</w:t>
      </w:r>
    </w:p>
    <w:p>
      <w:r>
        <w:rPr>
          <w:b/>
        </w:rPr>
        <w:t>E. 4</w:t>
      </w:r>
    </w:p>
    <w:p>
      <w:r>
        <w:t>Le litige porte sur le point de savoir si c'est à bon droit que l'intimée a mis un terme à ses prestations au 21 janvier 2019, plus précisément sur l'existence d'un lien de causalité entre l'accident du 21 novembre 2018 et les troubles à l'épaule gauche du recourant subsistant après cette date.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La responsabilité de l'assureur-accidents s'étend, en principe, à toutes les conséquences dommageables qui se trouvent dans un rapport de causalité naturelle et adéquate avec l'événement assuré (arrêt du Tribunal fédéral 8C_61/2016 du 19 décembre 2016 consid. 3.2).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w:t>
      </w:r>
    </w:p>
    <w:p>
      <w:r>
        <w:t>A/3952/2019 - 8/11 -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w:t>
      </w:r>
    </w:p>
    <w:p>
      <w:r>
        <w:rPr>
          <w:b/>
        </w:rPr>
        <w:t>E. 7</w:t>
      </w:r>
    </w:p>
    <w:p>
      <w:r>
        <w:t>En vertu de l'art. 36 al. 1 LAA, les prestations pour soin, les remboursements de frais ainsi que les indemnités journalières et les allocations pour impotents ne sont pas réduites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(arrêt du Tribunal fédéral 8C_412/2018 du 26 février 2019 consid. 3.2 et les références).</w:t>
      </w:r>
    </w:p>
    <w:p>
      <w:r>
        <w:rPr>
          <w:b/>
        </w:rPr>
        <w:t>E. 8</w:t>
      </w:r>
    </w:p>
    <w:p>
      <w:r>
        <w:t>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(arrêt du Tribunal fédéral 9C_55/2016 du 14 juillet 2016 consid. 3.1).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motivées et compréhensibles (ATF 133 V 450 consid. 11.1.3).</w:t>
      </w:r>
    </w:p>
    <w:p>
      <w:r>
        <w:t>A/3952/2019 - 9/11 - Sans remettre en cause le principe de la libre appréciation des preuves, le Tribunal fédéral des assurances a posé des lignes directrices en ce qui concerne la manière d'apprécier certains types d'expertises ou de rapports médicaux (ATF 125 V 351 consid. 3b).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w:t>
      </w:r>
    </w:p>
    <w:p>
      <w:r>
        <w:rPr>
          <w:b/>
        </w:rPr>
        <w:t>E. 9</w:t>
      </w:r>
    </w:p>
    <w:p>
      <w:r>
        <w:t>Dans le cas d’espèce, l’intimée a supprimé le droit aux prestations en se fondant sur l’appréciation du Dr G______. Force est toutefois de constater que les avis établis par le médecin d’arrondissement ne satisfont pas aux exigences dégagées par la jurisprudence en matière de rapports médicaux. En premier lieu, dans son avis du 21 mai 2019, ce médecin admet que l’accident subi est à l’origine – au moins partielle – de l’incapacité de travail imputable aux troubles à l’épaule, ce qui est en contradiction avec le statu quo qu'il a fixé deux mois après l’accident. Par ailleurs, il apparaît que le Dr G______ n’a pas pu prendre connaissance de l’ensemble des documents médicaux, puisqu’il ne rapporte pas les résultats de l’échographie qui aurait été réalisée le 29 avril 2019, qui ne figure pas au dossier. Le Dr G______ a en outre insisté sur la nécessité d’investiguer les anciennes lésions à l’épaule gauche dans son avis du 21 mai 2019 et d'obtenir l'avis d'un chirurgien orthopédiste. Or, il s’est finalement prononcé sur le statu quo malgré l’absence de ces éléments. On notera du reste que ce médecin affirme que l’épaule gauche du recourant présenterait un terrain maladif, sans qu’on comprenne en quoi il consiste, notamment eu égard à l’absence de toute notion de pathologie antérieure, hormis l’ancienne fracture de l’épaule, laquelle est à l’évidence traumatique et non maladive. Cet état dégénératif n’est en effet pas décrit. À ce sujet, contrairement à ce qu’affirme l’intimée dans sa réponse du 8 janvier 2020,</w:t>
      </w:r>
    </w:p>
    <w:p>
      <w:r>
        <w:t>A/3952/2019 - 10/11 - aucun autre antécédent que la fracture de la clavicule n’est mentionné s'agissant de l’épaule gauche du recourant. Dans ces circonstances, « l’esprit de symétrie » invoqué par le médecin pour conclure à l’origine dégnérative des troubles de l’épaule gauche ne suffit pas à convaincre – étant de plus souligné que le recourant est droitier. Son âge ne suffit pas non plus en soi à retenir une origine maladive exclusive de la lésion de l’épaule gauche, en l’absence de tout autre élément médical objectif. La conclusion quant au caractère juste possible d’un lien de causalité entre l’accident et les troubles à l’épaule est ainsi insuffisamment motivée. On ajoutera que le Dr G______ a fixé le statu quo sine en se référant à l’évolution prévisible de l’atteinte, retenant un délai de deux mois pour la guérison. Or, selon la jurisprudence, une telle fixation du statu quo sine, abstraite et théorique, ne suffit pas à établir la disparition du lien de causalité à défaut d’autres éléments médicaux (arrêts du Tribunal fédéral 8C_481/2019 du 7 mai 2020 consid. 3.4 et 8C_473/2017 du 21 février 2018 consid. 5). Enfin, le rapport du Dr H______ du 13 février 2020, qui ne contient certes pas tous les éléments nécessaires selon la jurisprudence pour se voir reconnaître valeur probante, suscite également des doutes sur les conclusions du médecin d’arrondissement.</w:t>
      </w:r>
    </w:p>
    <w:p>
      <w:r>
        <w:rPr>
          <w:b/>
        </w:rPr>
        <w:t>E. 10</w:t>
      </w:r>
    </w:p>
    <w:p>
      <w:r>
        <w:t>Compte tenu de ce qui précède, la chambre de céans ne dispose pas des éléments nécessaires pour trancher le litige.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l'intimée n'a pas procédé à une instruction dans les règles de l’art, se contentant de l’avis d’un médecin interne non conforme aux exigences en la matière. Il lui appartiendra ainsi de compléter l’instruction en rassemblant l’ensemble du dossier médical du recourant, puis en diligentant une expertise, qu’elle confiera à un spécialiste en chirurgie orthopédique désigné dans le respect des exigences jurisprudentielles en matière de droit d’être entendu (ATF 137 V 210 consid. 3.2.4.6 et 3.2.4.9). Elle devra ensuite rendre une nouvelle décision sur la base des conclusions de ladite expertise.</w:t>
      </w:r>
    </w:p>
    <w:p>
      <w:r>
        <w:rPr>
          <w:b/>
        </w:rPr>
        <w:t>E. 11</w:t>
      </w:r>
    </w:p>
    <w:p>
      <w:r>
        <w:t>Le recours est partiellement admis. Le recourant a droit à des dépens, qui seront fixés à CHF 1'500.- (art. 61 let. g LPGA). Pour le surplus, la procédure est gratuite (art. 61 let. a LPGA).</w:t>
      </w:r>
    </w:p>
    <w:p>
      <w:r>
        <w:t>A/3952/2019 - 11/11 -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