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ATAS/371/2016 vom 12. Mai 2016</w:t>
      </w:r>
    </w:p>
    <w:p>
      <w:r>
        <w:t>GE Cour de justice, 2016-05-12, FR</w:t>
      </w:r>
    </w:p>
    <w:p>
      <w:r>
        <w:rPr>
          <w:b/>
        </w:rPr>
        <w:t xml:space="preserve">Quelle: </w:t>
      </w:r>
      <w:r>
        <w:t>https://mcp.opencaselaw.ch/entscheid/ge_gerichte_ATAS_371_2016</w:t>
      </w:r>
    </w:p>
    <w:p>
      <w:r>
        <w:t>FR: GE_GERICHTE ATAS/371/2016 du 12 mai 2016</w:t>
      </w:r>
    </w:p>
    <w:p>
      <w:r>
        <w:t>IT: GE_GERICHTE ATAS/371/2016 del 12 maggio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2010.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w:t>
      </w:r>
    </w:p>
    <w:p>
      <w:r>
        <w:rPr>
          <w:b/>
        </w:rPr>
        <w:t>E. 3</w:t>
      </w:r>
    </w:p>
    <w:p>
      <w:r>
        <w:t>Le délai de recours est de 30 jours. Interjeté dans la forme et le délai prévus par la loi, le recours est recevable (art. 60 al. 1 et 56 à 61 LPGA).</w:t>
      </w:r>
    </w:p>
    <w:p>
      <w:r>
        <w:t>A/1433/2015 - 9/19 -</w:t>
      </w:r>
    </w:p>
    <w:p>
      <w:r>
        <w:rPr>
          <w:b/>
        </w:rPr>
        <w:t>E. 4</w:t>
      </w:r>
    </w:p>
    <w:p>
      <w:r>
        <w:t>Le litige porte sur le droit de la recourante au maintien d’un quart de rente d’invalidité au-delà du 30 septembre 2011, singulièrement sur l’évaluation de son invalidité dans les sphères professionnelles et ménagères.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b.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c. Aux termes de l’art. 88a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w:t>
      </w:r>
    </w:p>
    <w:p>
      <w:r>
        <w:t>A/1433/2015 - 10/19 - maintienne durant une assez longue période. Il en va de même lorsqu’un tel changement déterminant a duré trois mois déjà, sans interruption notable et sans qu’une complication prochaine soit à craindre (al. 1). En revanche, si l’incapacité de gain s’aggrave, il y a lieu de considérer que ce changement accroît, le cas échéant son droit aux prestations dès qu’il a duré trois mois sans interruption notable (al. 2).</w:t>
      </w:r>
    </w:p>
    <w:p>
      <w:r>
        <w:rPr>
          <w:b/>
        </w:rPr>
        <w:t>E. 7</w:t>
      </w:r>
    </w:p>
    <w:p>
      <w:r>
        <w:t>a.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b.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(ATF 130 V 393 consid. 3.3 et ATF 104 V 136 consid. 2a). c.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aussi être évalué avant tout en fonction de la situation professionnelle concrète.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135 V 297 consid. 5.2 ; ATF 129 V 472 consid. 4.2.1 ; ATF 126 V 75 consid. 3b).</w:t>
      </w:r>
    </w:p>
    <w:p>
      <w:r>
        <w:t>A/1433/2015 - 11/19 - d.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8</w:t>
      </w:r>
    </w:p>
    <w:p>
      <w:r>
        <w:t>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t>A/1433/2015 - 12/19 -</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En l’espèce, la recourante conteste en premier lieu la valeur probante de l’enquête ménagère. La Cour de céans constate que la seconde enquête ménagère, élaborée par une infirmière qualifiée en connaissance de la situation médicale et locale, tient compte des indications de l’assurée et de son époux, relatées en détails. Ses conclusions quant aux empêchements de l’assurée dans les différents champs d’activité et à l’aide exigible des proches sont dûment motivées. Elle répond donc a priori aux réquisits jurisprudentiels permettant de lui reconnaître une pleine valeur probante. Tel est également le cas de la première enquête. Force est de constater que la recourante ne se prévaut d’aucun élément susceptible de remettre en question les constatations de l’enquêtrice : elle se contente de livrer sa propre appréciation quant à la pondération et aux empêchements qui lui paraissent justifiés dans les divers champs d’activité, sans mettre en exergue d’erreur manifeste ni produire de justificatifs médicaux propres à démontrer qu’elle serait incapable d’accomplir ses tâches ménagères dans la mesure retenue. Contrairement à ce qu’elle laisse entendre, ses limitations ont bel et bien été prises en compte, puisque l’enquêtrice les a énumérées dans son rapport, en soulignant l’existence de troubles sensitivomoteurs hémicorporels gauches, d’une forte</w:t>
      </w:r>
    </w:p>
    <w:p>
      <w:r>
        <w:t>A/1433/2015 - 13/19 - asthénie et de troubles de la concentration. Ces limitations paraissent au demeurant avoir été suffisamment investiguées, puisqu’elles coïncident dans une large mesure avec celles mentionnées par le Dr C______ dans son dernier rapport, du 4 mai 2015. On précisera encore, s’agissant de la péjoration de fatigue alléguée en termes vagues dans le rapport en question, qu’elle est manifestement postérieure à la décision querellée. Or, le juge appelé à se prononcer sur la légalité d'une décision rendue par une assurance sociale doit apprécier l'état de fait déterminant existant au moment où la décision attaquée a été rendue (ATF 121 V 366 consid. 1b). Quant au caractère « irréaliste » de l’aide exigée de son époux, fixée globalement à 18,6% dans la seconde enquête, c’est le lieu de rappeler qu’il n’existe pas, selon le Tribunal fédéral, de grandeur limite au-delà de laquelle l'aide des membres de la famille ne serait plus possible. La jurisprudence, qui prévoit que l'assuré doit en premier lieu organiser son travail et demander l'aide de ses proches dans une mesure convenable, pose comme critère que l'aide ne saurait constituer une charge excessive, où l'aide des membres de la famille va au-delà du soutien que l'on peut attendre de manière habituelle sans atteinte à la santé (ATF 133 V 504 consid. 4.2 ; 130 V 97 consid. 3.3.3). En arguant en substance que son époux travaille à 100% et que ses trajets professionnels ont augmenté depuis le déménagement du couple - au demeurant sans préciser dans quelle proportion - la recourante échoue à démontrer le caractère excessif de l’aide retenue. À teneur de l’enquête, son époux dispose d’ailleurs d’horaires essentiellement libres, sa présence n’étant exigée sur le lieu de travail qu’entre 9h et 11h30 et de 14h à 16h30. Quoi qu’en dise la recourante, son mari dispose donc du temps nécessaire pour contribuer aux tâches ménagères dans la proportion retenue par l’enquête. En définitive, il n’y a aucun motif sérieux de s’écarter des conclusions convaincantes des deux enquêtes ménagères. Par conséquent, on retiendra des empêchements ménagers de 24,5% jusqu’au 30 octobre 2012 puis de 29,5% dès le 1er novembre 2012. Compte tenu du fait que l’assurée consacre 20% de son temps aux travaux ménagers, cela conduit à des degrés d’invalidité respectifs de 4,9% et 5,9% dans la sphère ménagère.</w:t>
      </w:r>
    </w:p>
    <w:p>
      <w:r>
        <w:rPr>
          <w:b/>
        </w:rPr>
        <w:t>E. 11</w:t>
      </w:r>
    </w:p>
    <w:p>
      <w:r>
        <w:t>La recourante sollicite un renvoi de la cause afin que l’intimé instruise la question d’éventuels effets réciproques dommageables entre son activité professionnelle et ses travaux ménagers. a. Il est vrai que, selon la jurisprudence du Tribunal fédéral, il peut être tenu compte, à certaines conditions bien définies, de la diminution de la capacité d'exercer une activité lucrative ou d'accomplir les travaux habituels en raison des efforts consentis dans l'autre domaine d'activité. Ainsi, lorsqu'il s'agit d'examiner dans quelle mesure les efforts fournis dans l'un et l'autre domaine d'activités s'influencent mutuellement, il convient de tenir compte des paramètres différents qui caractérisent les deux situations. En vertu de son obligation de réduire le dommage résultant de l'invalidité, la personne assurée est</w:t>
      </w:r>
    </w:p>
    <w:p>
      <w:r>
        <w:t>A/1433/2015 - 14/19 - tenue d'exercer une activité lucrative adaptée qui mette pleinement en valeur sa capacité résiduelle de travail (cf. ATF 130 V 97 consid. 3.2 p. 99 et les références) ;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(ATF 134 V 9 consid. 7.3.1 ; arrêt du Tribunal fédéral 9C_632/2014 consid. 4.1.1). Par ailleurs, selon les principes dégagés par la jurisprudence,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À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(ATF 134 V 9 consid. 7.3.2 à 7.3.7 ; arrêt du Tribunal fédéral 9C_632/2014 consid. 4.1.2). b. En l’occurrence, rien ne permet de conclure que le Dr C______ ou l’enquêtrice se seraient prononcés sur les empêchements professionnels, respectivement</w:t>
      </w:r>
    </w:p>
    <w:p>
      <w:r>
        <w:t>A/1433/2015 - 15/19 - ménagers, en méconnaissance de la situation prévalant dans l’un ou l’autre champ d’activité. Au contraire, le médecin a évalué la capacité résiduelle de travail dans le souci de l’équilibrer au mieux avec les travaux ménagers, tandis que l’enquêtrice, de son côté, a expressément tenu compte de la situation médicale et professionnelle de l’assurée pour évaluer les empêchements ménagers (cf. enquête du 29 juin 2012, p. 8 et enquête du 24 juin 2014, p. 1 à 3). Par ailleurs, comme l’assurée le concède dans ses dernières écritures, on doit admettre que son activité professionnelle ne présente pas le même profil d’exigences que ses travaux ménagers, puisque son activité lucrative implique des contraintes majoritairement psychiques, contrairement à ses tâches ménagères, qui supposent davantage d’efforts physiques. Enfin, il résulte des déclarations en audience de l’intéressée et de son médecin que le taux d’occupation actuel de 48% est considéré comme un « bon compromis » entre vie professionnelle et familiale et que le poste de travail a été aménagé. Des répercussions supplémentaires sur sa capacité de travail ne sont évoquées que de manière purement théorique, en lien avec une hypothétique augmentation du taux d’activité. On peut en déduire que l’activité professionnelle, exercée au taux actuel de 48%, ne restreint pas l’aptitude de l’assurée à effectuer ses travaux ménagers dans une mesure plus importante que ce que retiennent les enquêtes, contrairement à ce que celle-ci laisse entendre. Les conditions jurisprudentielles relatives à la prise en compte d’effets réciproques dommageables ne sont manifestement pas remplies, de sorte qu’il n’y a pas lieu d’approfondir l’instruction sur ce point. Partant, les conclusions idoines de la recourante tendant au renvoi de la cause à l’intimé sont rejetées.</w:t>
      </w:r>
    </w:p>
    <w:p>
      <w:r>
        <w:rPr>
          <w:b/>
        </w:rPr>
        <w:t>E. 12</w:t>
      </w:r>
    </w:p>
    <w:p>
      <w:r>
        <w:t>À ce stade, il convient de vérifier le calcul du degré d’invalidité et, partant, de se prononcer sur le droit à la rente. a. Il est constant que la recourante dispose d’un statut mixte réparti à raison de 80% pour la sphère professionnelle et de 20% pour la sphère ménagère. b. Pour calculer le degré d’invalidité dans la sphère professionnelle,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 Du 1er avril 2010 au 29 février 2013, l’intimé a évalué l’invalidité dans la sphère professionnelle sur la base des taux d’incapacité de travail attestés par le Dr C______. Il n’y a pas lieu de revenir sur ces taux, non contestés. Étant donné que, jusqu’au 29 février 2013, l’assurée a continué d’exercer son ancienne profession de « project manager » mais au gré des fluctuations de sa maladie, il est superflu de chiffrer ses revenus avec et sans invalidité, lesquels se</w:t>
      </w:r>
    </w:p>
    <w:p>
      <w:r>
        <w:t>A/1433/2015 - 16/19 - basent sur le même salaire (arrêt du Tribunal fédéral I 151/06 du 29 juin 2007, consid. 7.2.1). Comme l’a retenu l’intimé à juste titre, le degré d’invalidité professionnel se confond durant la période considérée avec l’incapacité de travail rapportée au taux d’activité déterminant de 80%. C’est donc à bon droit qu’il a octroyé une rente entière d’invalidité fondée sur un degré d’invalidité global de 85% dès le 1er avril 2011 (art. 28 al. 1 LAI), une demi-rente dès le 1er juin 2011 fondée sur une invalidité de 55%, et un quart de rente dès le 1er août 2011 fondée sur une invalidité de 45%. d. En revanche, dès le 19 septembre 2011, le degré d’invalidité a diminué à 34,9%, ce qui entraîne la suppression de la rente avec effet au 1er janvier 2012, trois mois après l’amélioration de la capacité de gain et non au 1er octobre 2011, comme l’a retenu l’intimé (art. 88 a al. 1 RAI). Sur ce point, la décision doit être réformée. e. Dès le 1er mars 2013, l’assurée a été contrainte par sa maladie à changer de poste de travail et a subi, de ce fait, une diminution de son salaire et de son bonus. Dès cette date, une comparaison des gains doit être effectuée, le degré d’invalidité ne se confondant plus avec l’incapacité de travail. L’intimé aboutit curieusement à un degré d’invalidité professionnel de 23,52%, notablement plus faible que celui retenu jusqu’alors, ce qui paraît d’emblée erroné en présence d’une réduction de salaire : il a estimé le nouveau revenu d’invalide à CHF 76'495.- sur la base du salaire annoncé par l’employeur à l’AVS pour 2013. f. En reprenant tel quel le revenu annoncé par l’employeur pour toute l’année 2013, l’intimé a intégré au revenu d’invalide de « project coordinator» les salaires perçus en janvier et février 2013 dans l’ancien poste de « project manager » ainsi qu’un bonus de CHF 8'714.- calculé sur la base de l’ancien salaire annuel de « project manager ». Ce faisant, il a repris une partie de la rémunération liée à l’ancienne activité professionnelle pour estimer le revenu perçu dans la nouvelle. Cette façon de faire ne saurait être confirmée. La Cour de céans constate que, depuis le 1er mars 2013, l’assurée bénéficie d’un salaire fixé contractuellement à CHF 62'500.- par an, auquel s’ajoute un bonus, qui s’est élevé concrètement à CHF 5'443.- à l’issue de sa première année d’activité comme « project coordinator ». Selon son décompte de salaire, elle a encore perçu en novembre 2013 deux versements extraordinaires de CHF 1'328.70 et CHF 2'939.85, correspondant respectivement à une prime spéciale (« ace reward ») et à une indemnité pour d’anciennes vacances. Toutefois, comme ces deux versements ne sont pas récurrents et résultent à l’évidence de circonstances spéciales, ils ne sauraient être intégrés au revenu d’invalide (Michel VALTERIO, Droit de l’assurance-vieillesse, survivants et de l’assurance-invalidité – Commentaire thématique, 2011, n° 2069). Dès le 1er mars 2013, le revenu d’invalide s’élève donc à CHF 67'943.-. g. Quant au revenu sans invalidité, il se déduit en principe du salaire réalisé en dernier lieu avant l’atteinte à la santé, en tenant compte de l’évolution des salaires.</w:t>
      </w:r>
    </w:p>
    <w:p>
      <w:r>
        <w:t>A/1433/2015 - 17/19 - En l’occurrence, l’intimé l’a chiffré à CHF 108'322.- sur la base du salaire communiqué par l’employeur pour l’année 2010, soit CHF 106'522.- (13 x 8'197), actualisé pour 2013. À nouveau, l’estimation de l’intimé est inexacte : d’une part, le salaire annoncé par l’employeur, adapté jusqu’en 2013 sur la base de l’indice suisse des salaires nominaux (ISS ; en 2010 : 2’579 et en 2013 : 2’648), représente un montant actualisé de CHF 109'372.- et non de CHF 108'322.- ; d’autre part, l’intimé a négligé le fait que le chiffre communiqué par l’employeur correspondait seulement au salaire annualisé de « project manager » et n’intégrait donc pas le bonus auquel la recourante avait droit et dont il y avait précisément lieu de tenir compte, puisque ce bonus lui a été versé chaque année - en tout cas depuis 2008 selon les décomptes de l’employeur et vraisemblablement déjà dès 2003 -, vu l’ampleur des salaires déclarés à l’AVS. Selon les allégations non contestées de l’assurée, ce bonus se serait élevé à 8% si elle avait pu continuer à travailler comme « project manager ». Par conséquent, son revenu sans invalidité doit être fixé à CHF 118'122.- en 2013 (108% x 109'372), ce qui correspond à quelques francs près à l’estimation dont la recourante se prévaut sur la base de son dernier salaire mensuel de « project manager ». h. Depuis le 1er mars 2013, la recourante présente une perte de gain professionnelle de 42,48% [100 x (118’122 – 67’943) / 118’122]. Son degré d’invalidité global, tenant compte des sphères professionnelle et ménagère, s’élève à 39,88% [(80% x 42,48) + (20% x 29,5)]. Arrondi à 40%, ce taux lui ouvre à nouveau droit à un quart de rente d’invalidité à compter du 1er juin 2013, trois mois après la diminution de sa capacité de gain (art. 88 a al. 2 RAI). Sur ce point également, la décision litigieuse sera réformée.</w:t>
      </w:r>
    </w:p>
    <w:p>
      <w:r>
        <w:rPr>
          <w:b/>
        </w:rPr>
        <w:t>E. 13</w:t>
      </w:r>
    </w:p>
    <w:p>
      <w:r>
        <w:t>La Cour de céans dispose de tous les éléments nécessaires pour statuer sur le droit à la rente d’invalidité. Partant, les mesures d’instruction sollicitées par la recourante sont rejetées, par appréciation anticipée des preuves.</w:t>
      </w:r>
    </w:p>
    <w:p>
      <w:r>
        <w:rPr>
          <w:b/>
        </w:rPr>
        <w:t>E. 14</w:t>
      </w:r>
    </w:p>
    <w:p>
      <w:r>
        <w:t>Au vu de ce qui précède, le recours est partiellement admis et la décision litigieuse réformée, en ce sens que la recourante a droit à un quart de rente d’invalidité - assorti de rentes complémentaires pour ses enfants - jusqu’au 1er janvier 2012 puis à nouveau depuis le 1er juin 2013. Pour le reste, la décision est confirmée et le recours rejeté. La recourante, représentée par un mandataire, obtient partiellement gain de cause, de sorte qu’elle a droit à une indemnité à titre de participation à ses frais et dépens, que la Cour de céans fixe en l’occurrence à CHF 2'500.- (art. 61 let. g LPGA ; art. 89H al. 3 de la loi sur la procédure administrative du 12 septembre 1985 - LPA; RS E 5 10 ; art. 6 du règlement sur les frais, émoluments et indemnités en procédure administrative du 30 juillet 1986 - RFPA ; RS E 5 10.03).</w:t>
      </w:r>
    </w:p>
    <w:p>
      <w:r>
        <w:t>A/1433/2015 - 18/19 - La procédure de recours en matière de contestation portant sur l’octroi ou le refus de prestations de l’assurance-invalidité étant soumise à des frais de justice, un émolument de CHF 200.- est mis à charge de l’intimé (art. 69 al. 1 bis LAI).</w:t>
      </w:r>
    </w:p>
    <w:p>
      <w:r>
        <w:t>A/1433/2015 - 19/19 -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