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ATAS/371/2015 vom 21. Mai 2015</w:t>
      </w:r>
    </w:p>
    <w:p>
      <w:r>
        <w:t>GE Cour de justice, 2015-05-21, FR</w:t>
      </w:r>
    </w:p>
    <w:p>
      <w:r>
        <w:rPr>
          <w:b/>
        </w:rPr>
        <w:t xml:space="preserve">Quelle: </w:t>
      </w:r>
      <w:r>
        <w:t>https://mcp.opencaselaw.ch/entscheid/ge_gerichte_ATAS_371_2015</w:t>
      </w:r>
    </w:p>
    <w:p>
      <w:r>
        <w:t>FR: GE_GERICHTE ATAS/371/2015 du 21 mai 2015</w:t>
      </w:r>
    </w:p>
    <w:p>
      <w:r>
        <w:t>IT: GE_GERICHTE ATAS/371/2015 del 21 maggio 2015</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en temps utile (art. 60 al. 1 LPGA), est également recevable en la forme.</w:t>
      </w:r>
    </w:p>
    <w:p>
      <w:r>
        <w:rPr>
          <w:b/>
        </w:rPr>
        <w:t>E. 3</w:t>
      </w:r>
    </w:p>
    <w:p>
      <w:r>
        <w:t>Le litige porte uniquement sur la question de savoir si des intérêts moratoires sont dus par la recourante à l’intimée.</w:t>
      </w:r>
    </w:p>
    <w:p>
      <w:r>
        <w:rPr>
          <w:b/>
        </w:rPr>
        <w:t>E. 4</w:t>
      </w:r>
    </w:p>
    <w:p>
      <w:r>
        <w:t>a) Selon l’art. 26 al. 1 LPGA, les créances de cotisations échues sont soumises à la perception d’intérêts moratoires. L'art. 41 bis al. 1 let. f RAVS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Les intérêts moratoires courent du 1er janvier après la fin de l’année civile suivant l’année de cotisation jusqu’à ce que les cotisations soient intégralement payées (art. 41bis al. 1 let. f et al. 2 RAVS).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b) La recourante proteste de sa bonne foi et fait remarquer qu’aucune faute ne lui est imputable, ce qui n’est d’ailleurs pas contesté. Peu importe de savoir si l’intimée aurait dû ou non attirer personnellement l’attention de la recourante sur l’augmentation de la cotisation minimale. En effet, ainsi que l’a souligné l’intimée,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les intérêts réclamés en cas de retard dans le versement des cotisations sont dus indépendamment de toute sommation, de toute faute de l’affilié</w:t>
      </w:r>
    </w:p>
    <w:p>
      <w:r>
        <w:t>A/957/2015 - 4/6 - et même en dépit de la parfaite bonne foi de ce dernier (ATF 9C_173/2007 ou encore RCC 1992 p. 178 consid. 4b). Au surplus, la caisse ne peut renoncer à une part des intérêts réclamés. Dans un arrêt X. du 21 août 2003 (H 268/02, confirmé dans un arrêt récent H 328/02 du 30 janvier 2004), notre Haute Cour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w:t>
      </w:r>
    </w:p>
    <w:p>
      <w:r>
        <w:rPr>
          <w:b/>
        </w:rPr>
        <w:t>E. 5</w:t>
      </w:r>
    </w:p>
    <w:p>
      <w:r>
        <w:t>Reste à examiner si l’intimée a violé son devoir de renseigner la recourante. a) L’art. 27 LPGA prévoit que, dans les limites de leur domaine de compétence, les assureurs et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Cette disposition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Le Tribunal fédéral a largement repris les travaux législatifs et doctrinaux relatifs à l'art. 27 LPGA et a retenu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(cf. GEBHARD EUGSTER, ATSG</w:t>
      </w:r>
    </w:p>
    <w:p>
      <w:r>
        <w:t>A/957/2015 - 5/6 -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Des auteurs de doctrine ont également indiqué que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Informations et conseils à l’assuré dans les assurances sociales : le tournant de la LPGA, in La partie générale des assurances sociales, IRAL, 2003, p. 39 ss). Le Tribunal fédéral a enfin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b) En l’espèce, il sera tout d’abord relevé qu’en omettant d’informer l’intimée de l’évolution de sa situation de fortune, la recourante l’a ainsi privée de la possibilité de constater qu’il serait plus avantageux pour elle d’augmenter ses acomptes. Ainsi, il n’était pas reconnaissable pour l’administration que l’assurée aurait eu intérêt à augmenter le montant de ses acomptes. Par ailleurs, eu égard au contenu du site internet de l’intimée et aux informations générales fournies aux assurés au paiement des acomptes, il y a lieu de considérer qu’elle a rempli les exigences d’informations générales découlant de l’art. 27 al. 1 LPGA. Enfin, même si la recourante considère avoir fait l’objet d’un défaut d’information, force est de constater qu’il n’en a résulté aucune perte de droit aux prestations auxquelles elle a droit, mais simplement l’obligation de payer des intérêts moratoires, dont on a déjà relevé qu’ils n’avaient aucun caractère punitif.</w:t>
      </w:r>
    </w:p>
    <w:p>
      <w:r>
        <w:t>Eu égard aux considérations qui précèdent, le recours ne peut donc qu’être rejeté.</w:t>
      </w:r>
    </w:p>
    <w:p>
      <w:r>
        <w:t>A/957/2015 - 6/6 -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