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ATAS/370/2026 vom 30. April 2026</w:t>
      </w:r>
    </w:p>
    <w:p>
      <w:r>
        <w:t>GE Cour de justice, 2026-04-30, FR</w:t>
      </w:r>
    </w:p>
    <w:p>
      <w:r>
        <w:rPr>
          <w:b/>
        </w:rPr>
        <w:t xml:space="preserve">Quelle: </w:t>
      </w:r>
      <w:r>
        <w:t>https://mcp.opencaselaw.ch/entscheid/ge_gerichte_ATAS_370_2026</w:t>
      </w:r>
    </w:p>
    <w:p>
      <w:r>
        <w:t>FR: GE_GERICHTE ATAS/370/2026 du 30 avril 2026</w:t>
      </w:r>
    </w:p>
    <w:p>
      <w:r>
        <w:t>IT: GE_GERICHTE ATAS/370/2026 del 30 aprile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Il convient de définir l’objet du litige.</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La question de la suspension des indemnités journalières et du traitement médical d’une part, et de l’examen des conditions du droit à la rente et de l’IPAI d’autre part, forment un seul objet du litige (ATF 144 V 354 consid. 4.2 et les références), de sorte que l’assureur n’est pas tenu de rendre deux décisions distinctes. Lorsque l’assureur rend une décision formelle de refus de droit à la rente, il y a lieu d’admettre qu’il refuse également formellement la poursuite du versement de l’indemnité journalière et de la prise en charge du traitement médical (cf. arrêt du Tribunal fédéral 8C_619/2018 du 7 mars 2019 consid. 3.3).</w:t>
      </w:r>
    </w:p>
    <w:p>
      <w:r>
        <w:t>A/4277/2025 - 23/44 -</w:t>
      </w:r>
    </w:p>
    <w:p>
      <w:r>
        <w:rPr>
          <w:b/>
        </w:rPr>
        <w:t>E. 2.2</w:t>
      </w:r>
    </w:p>
    <w:p>
      <w:r>
        <w:t>Par ailleurs,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 Selon la jurisprudence, le droit à une rente d'invalidité de l'assurance-accidents, respectivement le droit à une IPAI, sont deux rapports juridiques distincts, sans lien de connexité entre eux (arrêts du Tribunal fédéral 8C_87/2020 du 4 décembre 2020 consid. 4.3 et les références ; 8C_420/2008 du 31 mars 2009 consid. 1.3).</w:t>
      </w:r>
    </w:p>
    <w:p>
      <w:r>
        <w:rPr>
          <w:b/>
        </w:rPr>
        <w:t>E. 2.3</w:t>
      </w:r>
    </w:p>
    <w:p>
      <w:r>
        <w:t>En l’occurrence, l’intimée, par décision sur opposition du 6 novembre 2025, a estimé que l’état de santé de la recourante était stabilisé en date du 1er juillet 2019 et lui a dénié le droit à une rente d’invalidité, au motif que sa perte de gain ne s’élevait qu’à 5.38%. Elle a pour le surplus maintenu que le taux d’IPAI s’élevait à 20%. L’intimée avait en outre informé la recourante, par courrier du 20 juin 2019, que son service médical estimait qu’il n’y avait plus lieu d’attendre de la continuation du traitement une amélioration notable des suites de l’accident, de sorte qu’elle mettrait fin au versement des indemnités journalières au 31 juillet 2019. Compte tenu de la jurisprudence précitée, l’intimée, en rendant sa décision du 27 août 2025, confirmée sur opposition le 6 novembre 2025, a également refusé le versement des indemnités journalières à la recourante à compter du 1er août 2019. Par conséquent, le litige porte tant sur la cessation, au 31 juillet 2019, du versement des indemnités journalières, que sur le refus d’octroyer une rente d’invalidité à la recourante. Il convient encore de relever que dans le cadre de la procédure d’opposition et de son recours, la recourante a remis en cause la date retenue s’agissant de la stabilisation de son état de santé, sa capacité de travail dans une activité adaptée et le calcul de sa rente. Elle n’a toutefois pas contesté l’IPAI retenue par l’intimée. Le taux d’IPAI retenu par l’intimée ne fait par conséquent pas partie de l’objet du litige.</w:t>
      </w:r>
    </w:p>
    <w:p>
      <w:r>
        <w:t>A/4277/2025 - 24/44 -</w:t>
      </w:r>
    </w:p>
    <w:p>
      <w:r>
        <w:rPr>
          <w:b/>
        </w:rPr>
        <w:t>E. 3</w:t>
      </w:r>
    </w:p>
    <w:p>
      <w:r>
        <w:t>août 2020 consid. 5.2 cité dans David IONTA, op. cit., p. 316). Par ailleurs, la prescription d'antalgiques et de séances de physiothérapie est compatible avec un état stabilisé (arrêt du Tribunal fédéral 8C_93/2022 du 19 octobre 2022 consid. 4.2 cité dans David IONTA, op. cit., p. 316).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w:t>
      </w:r>
    </w:p>
    <w:p>
      <w:r>
        <w:rPr>
          <w:b/>
        </w:rPr>
        <w:t>E. 3.1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3.2</w:t>
      </w:r>
    </w:p>
    <w:p>
      <w:r>
        <w:t>Les prestations suivantes sont notamment prévues en cas d'accident. Aux termes de l'art. 10 al. 1 LAA, l'assuré a droit au traitement médical approprié des lésions résultant de l'accident.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Il est précisé à l'art. 6 LPGA, première phrase,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À teneur de l'art. 18 al. 1 LAA, si l’assuré est invalide (art. 8 LPGA) à 10% au moins par suite d’un accident, il a droit à une rente d’invalidité, pour autant que l’accident soit survenu avant l’âge de référence. L'art. 8 LPGA précise qu'est réputée invalidité l'incapacité de gain totale ou partielle qui est présumée permanente ou de longue durée.</w:t>
      </w:r>
    </w:p>
    <w:p>
      <w:r>
        <w:rPr>
          <w:b/>
        </w:rPr>
        <w:t>E. 3.3</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L'amélioration de l'état de santé se détermine notamment en fonction de l'augmentation ou de la récupération probable de la capacité de travail réduite par l'accident (ATF 134 V 109 consid. 4.3). L'utilisation du terme "sensible"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w:t>
      </w:r>
    </w:p>
    <w:p>
      <w:r>
        <w:t>A/4277/2025 - 25/44 - œuvre. Il ne suffit pas qu'un traitement physiothérapeutique puisse éventuellement être bénéfique pour la personne assurée. Dans ce contexte, l'état de santé doit être évalué de manière prospective et non sur la base de constatations rétrospectives (arrêts du Tribunal fédéral 8C_799/2023 du 3 septembre 2024 consid. 3.3.1 et les références ; 8C_642/2023 du 20 mars 2024 consid. 3.1.1 et la référence). Ainsi, des rapports médicaux établis postérieurement à l'examen de la stabilisation de l'état de santé ne sont pas pertinents (arrêt du Tribunal fédéral 8C_528/2022 du 17 novembre 2022 consid. 7.4 cité dans David IONTA, Stabilisation de l’état de santé en LAA, in HAVE/REAS 4/2023, p. 316). Les renseignements médicaux relatifs aux possibilités thérapeutiques et à l'évolution de la maladie, généralement saisis sous la notion de pronostic, constituent en premier lieu la base de l'appréciation de cette question juridique (arrêt du Tribunal fédéral 8C_682/2021 du 13 avril 2022 consid. 5.1 et les références). Il n'y a pas d'amélioration sensible de l'état de santé quand la mesure thérapeutique (par exemple une cure annuelle) ne fait que soulager momentanément des douleurs occasionnées par un état par ailleurs stationnaire ou qui ne sert non pas à guérir l'atteinte à la santé mais uniquement à combattre les symptômes (arrêt du Tribunal fédéral 8C_363/3030 du 29 septembre 2020 consid. 4.1 cité dans David IONTA, op. cit., p. 316). Le seul fait que la personne assurée ressente encore des douleurs ou souffre de douleurs chroniques ne permet pas de conclure que son état de santé n'est pas stabilisé (arrêt du Tribunal fédéral 8C_20/2022 du 10 juin 2022 consid. 6.3 cité dans David IONTA, op. cit., p. 316). Il en est de même lorsque le cas de l'assuré s'est chronicisé et qu'aucun geste médical ni chirurgical n'est susceptible d'apporter une quelconque amélioration de la situation et que des infiltrations ne permettent pas de changer de façon substantielle le pronostic du patient (arrêt du Tribunal fédéral 8C_484/2019 du</w:t>
      </w:r>
    </w:p>
    <w:p>
      <w:r>
        <w:rPr>
          <w:b/>
        </w:rPr>
        <w:t>E. 4</w:t>
      </w:r>
    </w:p>
    <w:p>
      <w:r>
        <w:t>A/4277/2025 - 26/44 -</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4.3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w:t>
      </w:r>
    </w:p>
    <w:p>
      <w:r>
        <w:t>A/4277/2025 - 27/44 - des assurances sociales, il y a lieu toutefois de poser des exigences sévères quant à l’impartialité de l’expert (ATF 125 V 351 consid. 3b/ee).</w:t>
      </w:r>
    </w:p>
    <w:p>
      <w:r>
        <w:rPr>
          <w:b/>
        </w:rPr>
        <w:t>E. 4.4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t>A/4277/2025 - 28/44 -</w:t>
      </w:r>
    </w:p>
    <w:p>
      <w:r>
        <w:rPr>
          <w:b/>
        </w:rPr>
        <w:t>E. 5.2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5.3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6</w:t>
      </w:r>
    </w:p>
    <w:p>
      <w:r>
        <w:t>En l’espèce, l’intimée, se fondant sur le rapport d’expertise du Dr M______ du 19 mai 2025, a considéré que l’état de santé de la recourante était stabilisé depuis le 1er juillet 2019 et qu’elle disposait d’une capacité entière dans une activité adaptée. La recourante conteste la valeur probante du rapport d’expertise du Dr M______. Se référant aux rapports médicaux de ses médecins traitants, elle estime que son état n’était pas stabilisé au mois de juillet 2019 et que sa capacité de travail dans une activité adaptée ne s’élève qu’à 50%.</w:t>
      </w:r>
    </w:p>
    <w:p>
      <w:r>
        <w:rPr>
          <w:b/>
        </w:rPr>
        <w:t>E. 6.1</w:t>
      </w:r>
    </w:p>
    <w:p>
      <w:r>
        <w:t>Il convient dès lors d’examiner la valeur probante du rapport d’expertise neurochirurgical établi par le Dr M______ en date du 19 mai 2025, dès lors que l’intimée s’est fondée sur ce rapport pour rendre la décision querellée.</w:t>
      </w:r>
    </w:p>
    <w:p>
      <w:r>
        <w:t>A/4277/2025 - 29/44 - La chambre de céans constate tout d’abord que ce rapport d’expertise remplit, sur le plan formel, les réquisits jurisprudentiels en matière de valeur probante. Il contient en effet une anamnèse, les plaintes de la recourante et des observations cliniques. L’expert a en outre répondu aux différentes questions qui lui étaient soumises par l’intimée et a motivé ses conclusions. Sur le fond, l’expert a retenu que l’accident avait entraîné une « fracture tassement de L2 de type A4 selon classification AO spine » et des « fractures non déplacées des apophyses transverse de L1, L2, L3 ». Selon lui, la recourante présente surtout une certaine raideur lombaire basse, avec une limitation de l’antéflexion de la colonne lombaire. Il n’a pas relevé d’atteinte motrice, ni de déficit moteur, hormis une petite faiblesse du quadriceps gauche, modérée et peu invalidante, vraisemblablement due à l’écartement du nerf crural gauche lors de la lombotomie (deuxième chirurgie). L’expert a indiqué que la position d’accroupissement était difficile à réaliser, surtout pour se relever, et que la recourante se plaignait essentiellement de lombalgies chroniques peu invalidantes. La chambre de céans relève tout d’abord que les lombalgies chroniques relevées par l’expert ressortent des différents rapports médicaux du dossier. À cet égard, la Dre G______ a retenu, dans son rapport du 17 mai 2018, que la recourante souffrait de lombalgies mécaniques traumatiques, en précisant que lors de la consultation du 17 janvier 2018, les douleurs rapportées par la recourante étaient localisées au niveau lombaire, avec une irradiation inguinale, permanentes et qualifiées de supportables. Les lombalgies de la recourante ressortent également des rapports de la Dre F______ des 17 octobre 2018 et 18 septembre 2019. Par ailleurs, l’expert a considéré que l’état de santé de la recourante pouvait être considéré comme étant stabilisé depuis le 1er juillet 2019, soit plus d’un an après les deux chirurgies, ce qui correspondait au délai habituel retenu dans la littérature pour obtenir une fusion osseuse. Cette date était en outre postérieure de près de deux ans à l’accident et des chirurgies, ce qui était le délai généralement retenu dans la littérature pour fixer le résultat clinique définitif. Selon l’expert, le bilan radiologique permettait d’affirmer que la fusion osseuse était correcte, avec la persistance d’une minime déformation de l’équilibre sagittal, sans conséquence clinique notable, hormis des lombalgies peu invalidantes. L’évolution clinique était favorable avec une nette diminution des douleurs résiduelles et une amélioration de la mobilité, ce qui avait permis à la recourante de reprendre une activité professionnelle dès le début de l’année 2019, d’abord à 50%, puis à 100% (de son ancien taux à 39%) dès le début de l’année 2021. Il n’y avait pas de nouvelle indication chirurgicale à envisager, ni d’autre option médicamenteuse, hormis la poursuite de la physiothérapie à titre d’entretien. Il n’y avait pas de traitement susceptible d’améliorer sensiblement la capacité de travail de l’assurée. S’agissant des limitations fonctionnelles, l’expert a indiqué que celles-ci concernaient uniquement la colonne dorsolombaire de la recourante. Le port de charges devait être limité à 5 kg au maximum, si possible de manière non</w:t>
      </w:r>
    </w:p>
    <w:p>
      <w:r>
        <w:t>A/4277/2025 - 30/44 - répétitive, ou en ménageant des temps de récupération. La manipulation d’objets lourds, comme des déplacements de meubles volumineux, était interdite. Tous les mouvements de flexion antérieure vers l’avant étaient à proscrire, surtout s’ils étaient répétés, ou avec des charges, de même que les mouvements de rotation ou de torsion du tronc qu’il fallait supprimer. Les travaux en position accroupie, ou sur les genoux n’étaient pas envisageables. L’utilisation régulière d’outils lourds (plus de 3 kg) était également à éviter. Les stations debout ou assise prolongées devaient être limitées à 1 heure (par exemple le repassage), et il n’y avait pas de limite pour la marche, ou pour l’alternance des stations debout ou assise. Il fallait éviter le travail sur des échelles, alors que l’utilisation des escaliers ne posait pas de problème. La marche était également possible, mais limitée à 1h30. La chambre de céans observe que les limitations fonctionnelles retenues par l’expert sont similaires à celles qui ont été retenues par la Dre E______ dans son rapport du 19 janvier 2018 à l’attention de l’OAI. Il convient également de relever que dans son rapport du 21 mai 2019, la Dre F______ a mentionné que l’activité d’employée de maison à 50% était limitée aux activités légères, sans aucune activité lourde, et que la Dre O______, dans son rapport du 27 juin 2022, a indiqué que la recourante n’effectuait plus de travaux lourds et ne pouvait pas monter sur une échelle ou un escabeau, ce qui correspond aux limitations retenues par l’expert. Selon l’expert, la recourante n’est pas apte, au vu de ses limitations fonctionnelles, à reprendre son activité habituelle à un taux de 39%, sans baisse de rendement, dès lors que cette activité comporte des efforts importants, répétitifs, avec des positions penchées vers l’avant, ou en torsion du dos, qui lui sont préjudiciables. Dans une activité adaptée à ses troubles actuels, comme un poste administratif ou de gestion, respectivement un poste d’accueil ou d’entretien, la recourante dispose selon l’expert d’une capacité de travail entière, sans baisse de performance, dès lors qu’elle ne se plaint que de lombalgies chroniques peu invalidantes, chiffrées à 2 ou 3/10 à l’EVA. Ce n’est que lors d’efforts plus importants, sollicitant sa colonne parce que répétitifs ou réalisés dans de mauvaises positions, que ces lombalgies peuvent augmenter jusqu’à 6/10. En évitant ces efforts inadaptés, l’état de santé de l’assurée lui permet de conserver un taux de pleine activité, soit 100%, sans entrainer de recrudescence douloureuse importante. Le recourante a en outre relevé qu’il n’y avait pas d’atteinte neurologique, ni de prise médicamenteuse limitant sa capacité de travail. La poursuite d’une physiothérapie d’entretien de la colonne visant à bien acquérir tous les mouvements d’économie rachidienne, ainsi qu’à renforcer le travail des muscles paravertébraux est importante. La prescription de trois séries de 9 séances chacune dans l’année, est souhaitable pour aider la recourante à maintenir sa capacité de travail actuelle. Compte tenu de ce qui précède, la chambre de céans considère que le rapport d’expertise du Dr M______ peut se voir reconnaître une pleine valeur probante,</w:t>
      </w:r>
    </w:p>
    <w:p>
      <w:r>
        <w:t>A/4277/2025 - 31/44 - dès lors que ses conclusions sont motivées et dépourvues de toute contradiction. Elles concordent en outre avec les différents éléments médicaux du dossier.</w:t>
      </w:r>
    </w:p>
    <w:p>
      <w:r>
        <w:rPr>
          <w:b/>
        </w:rPr>
        <w:t>E. 6.2</w:t>
      </w:r>
    </w:p>
    <w:p>
      <w:r>
        <w:t>Il convient désormais d’examiner si les critiques de la recourante sont de nature à remettre en cause la fiabilité des conclusions de l’expert. La recourante argue que le rapport du Dr M______ contient plusieurs erreurs. Contrairement à ce que l’expert mentionne, elle ne pouvait plus s’occuper de certaines tâches ménagères, lesquelles étaient effectuées par sa fille. Par ailleurs, elle pratiquait la marche et la course à pied avant son accident, alors qu’elle ne pouvait plus courir, ni marcher plus d’une heure après cet évènement. Le Dr M______ avait également constaté, lors de l’examen clinique, qu’elle prenait une posture en élevant une épaule par rapport à l’autre pour éviter les douleurs à la marche et qu’elle présentait moins de force dans la jambe gauche, sans en faire mention. Ces critiques ne sont pas de nature à remettre en cause la fiabilité des conclusions de l’expert. En effet, il ressort du rapport d’expertise que le Dr M______ a indiqué que la recourante s’occupait seule de toute la maison, en précisant que sa fille l’aidait beaucoup. En outre, le fait que l’expert ait retenu que le manque d’activité physique de la recourante était davantage lié à des habitudes de vie ne l’a pas empêché de retenir plusieurs limitations fonctionnelles, y compris en lien avec la marche. De même, le fait que l’expert n’ait pas mentionné la posture asymétrique adoptée par la recourante pour marcher, ce qui ne ressort pas du rapport d’expertise, ne l’a pas non plus empêché de retenir des limitations fonctionnelles en lien avec la marche. La recourante conteste ensuite que son état de santé serait stabilisé au 1er juillet 2019. Selon elle, l’expert s’est fondé à tort sur le fait qu’elle avait repris à taux partiel son activité en 2019, alors que cette reprise avait été très pénible pour elle et qu’elle n’avait repris à plein temps qu’en 2021. En outre, les Drs D______ et N______ avaient prévu un contrôle post-opératoire au mois de septembre 2019 pour se déterminer sur la stabilisation de son état de santé. Leur appréciation ne pouvait pas être écartée pour le simple motif qu’ils avaient uniquement prescrit de la physiothérapie, dès lors que l’efficacité de ce traitement lui avait permis de reprendre son activité professionnelle à 50% dans un environnement allégé. Il convient de rappeler, à titre liminaire que différents rapports médicaux du dossier témoignent de la bonne évolution post-opératoire de l’état de santé de la recourante (cf. notamment rapport du 24 octobre 2017 des Drs D______ et C______ et rapports du Dr D______ des 27 novembre 2017, 15 mars 2018 et 11 février 2019). En outre, il sied également de remarquer qu’à compter du mois de janvier 2019, les différents médecins ayant examiné la recourante lui ont prescrit des antalgiques et des séances de physiothérapie, ce qui est compatible avec un état de</w:t>
      </w:r>
    </w:p>
    <w:p>
      <w:r>
        <w:t>A/4277/2025 - 32/44 - santé stabilisé (cf. rapport du Dr D______ du 11 février 2019, prescription du Dr D______ du 26 février 2019, prescription de la Dre F______ du</w:t>
      </w:r>
    </w:p>
    <w:p>
      <w:r>
        <w:rPr>
          <w:b/>
        </w:rPr>
        <w:t>E. 6.3</w:t>
      </w:r>
    </w:p>
    <w:p>
      <w:r>
        <w:t>Partant, les conclusions de l’expert doivent être confirmées. Il n’y a dès lors pas lieu de mettre en œuvre une expertise judiciaire, ni de procéder à l’audition de la Dre O______ et de la recourante, étant rappelé que le droit d’être entendu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En outre, il n'implique pas le droit à une audition orale ni à l’audition de témoins (ATF 140 I 285 consid. 6.3.1). 7. Compte tenu des développements précédents, la chambre de céans considère comme établi au degré de la vraisemblance prépondérante que l’état de santé de la recourante est stabilisé depuis le 1er juillet 2019 et que sa capacité de travail dans une activité adaptée est entière. Il s’agit dès lors d’examiner le calcul du droit à la rente d’invalidité effectué par l’intimée. 7.1 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Si l’assuré est invalide (art. 8 LPGA) à 10 % au moins par suite d’un accident, il a droit à une rente d’invalidité, pour autant que l’accident soit survenu avant l’âge ordinaire de la retraite (art. 18 al. 1 LAA).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t>A/4277/2025 - 35/44 - 7.2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7.3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7.4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 le parallèle n'a toutefois pas valeur absolue. Cette réglementation est applicable par analogie dans le domaine de</w:t>
      </w:r>
    </w:p>
    <w:p>
      <w:r>
        <w:t>A/4277/2025 - 36/44 - l'assurance-accidents, dès lors que la notion d'invalidité y est la même que dans l'assurance-invalidité. On rappellera cependant que l'évaluation de l'invalidité par l'assurance-invalidité n'a pas de force contraignante pour l'assureur-accidents de même, l'assurance-invalidité n'est pas liée par l'évaluation de l'invalidité de l'assurance-accidents.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(arrêt du Tribunal fédéral 8C_679/2020 du 1er juillet 2021 consid. 5.1 et les références). Dans le domaine de l’assurance-accidents, le revenu sans invalidité doit être établi sans égard au fait que l'assuré mettait à profit entièrement, ou en partie seulement, sa capacité de travail avant l'accident. Il faut, autrement dit, rechercher quelles sont les possibilités de gain d'un assuré censé les utiliser pleinement (ATF 119 V 475 consid. 2b et les références ; arrêt du Tribunal fédéral 8C_664/2007 du</w:t>
      </w:r>
    </w:p>
    <w:p>
      <w:r>
        <w:rPr>
          <w:b/>
        </w:rPr>
        <w:t>E. 10</w:t>
      </w:r>
    </w:p>
    <w:p>
      <w:r>
        <w:t>mai 2019). À cet égard, s’il est certain que la physiothérapie mise en œuvre a eu des effets bénéfiques sur l’état de santé de la recourante, qui a pu reprendre son activité à 50% dans un environnement allégé au mois de janvier 2019, il appert toutefois que le dossier de l’intimée ne contient aucun élément suggérant qu’en 2019, la poursuite de la physiothérapie était de nature à améliorer sensiblement son état de santé. Il ne peut notamment pas être inféré de la reprise à temps plein, par la recourante, de son ancienne activité en 2021, que la physiothérapie a significativement amélioré son état de santé entre 2019 et 2021, dès lors que cette activité n’était de toute façon pas adaptée à son état de santé. La chambre de céans constate également qu’en 2019, les différents médecins consultés par la recourante n’ont pas proposé d’alternative thérapeutique de nature à améliorer sensiblement son état de santé. Dans son rapport du 21 mai 2019, la Dre F______ a ainsi estimé que la décision d’une reprise à temps plein dans l’activité habituelle était prématurée et a mentionné que les douleurs lombaires dont souffrait la recourante persistaient, sans toutefois indiquer que son état ne serait pas stabilisé ou qu’un traitement serait de nature à améliorer sensiblement son état de santé. De même, le fait que les douleurs éprouvées par la recourante aient persisté ne permet pas de conclure que son état ne serait pas stabilisé. À cet égard, il y a lieu de relever que dans son rapport du 11 février 2019, le Dr D______ a mentionné que la recourante avait rapporté une évolution favorable des douleurs inflammatoires en regard du site opératoire, tandis que les douleurs mécaniques en barre persistaient. La Dre F______ a confirmé, dans ses rapports des 21 mai et 18 septembre 2019, que les douleurs mécaniques en barre étaient permanentes. Dès lors, les douleurs éprouvées par la recourante n’avaient pas sensiblement évolué depuis plusieurs mois au moment où la stabilisation de son état de santé a été fixée par l’intimée, de sorte que son état pouvait être considéré comme étant stable d’un point de vue médical. Par ailleurs, le Dr M______ a fixé la stabilisation de l’état de santé de la recourante au 1er juillet 2019, en mentionnant que la littérature médicale retenait un délai « de l’ordre de deux ans » après la chirurgie pour obtenir une amélioration clinique des douleurs. Il appert ainsi que ce délai a été mentionné par l’expert à l’appui de son appréciation de la stabilisation de l’état de santé de la recourante, ce qui ne l’a pas empêché de tenir compte des examens médicaux concrets à sa disposition, lesquels montraient une stabilisation de l’état de santé de la recourante dès le 1er juillet 2019. Ainsi, il n’y a pas lieu, comme le soutient de la recourante, de retenir que son état de santé s’est stabilisé au plus tôt au mois de septembre 2019 au motif que sa dernière opération a eu lieu au mois de septembre 2017.</w:t>
      </w:r>
    </w:p>
    <w:p>
      <w:r>
        <w:t>A/4277/2025 - 33/44 - Il est en outre indifférent que la recourante ait accepté ou non de se rendre à la CRR en 2019, dès lors que pour déterminer si son état de santé était stabilisé, il y a lieu de se demander si des mesures thérapeutiques pouvaient sensiblement améliorer sa capacité de travail, ce qui n’était pas le cas au vu du dossier. Enfin, contrairement à ce que soutient la recourante, il ne ressort nullement du rapport du 11 février 2019 que les Drs D______ et N______ avaient fixé un contrôle post-opératoire au mois de septembre 2019 pour se déterminer sur la stabilisation de son état de santé. Il ressort au contraire de ce rapport, tout comme des différents rapports du Dr D______, que ce dernier ne s’est pas prononcé sur cette question. Par conséquent, c’est à raison que l’expert a retenu que l’état de santé de la recourante était stabilisé au 1er juillet 2019. La recourante soutient encore que l’expert a estimé de façon contradictoire que la durée de l’activité qu’elle réalisait, soit 17h30 par semaine, était compatible avec son état de santé, alors que cette activité, en raison des tâches qu’elle comportait, n’était pas compatible avec son état de santé, ce indépendamment du temps qu’elle y consacrait. À cet égard, il convient de rappeler que l’expert a indiqué que l’état de santé de la recourante ne lui permettait pas, médicalement, de reprendre son ancienne activité, sauf à l’aménager de manière significative en respectant toutes les limitations fonctionnelles. Selon lui, la « durée du temps de travail était un élément plutôt positif, puisqu’il n’était que de 17,5 heures par semaine, (39%), c’est-à-dire compatible avec l’état de santé de la recourante ». L’on comprend toutefois que cette remarque signifie simplement que le taux d’activité de la recourante était un élément favorable compte tenu de son état de santé, ce qui ne revient pas à dire que son ancienne activité est compatible avec son état de santé. La critique de la recourante tombe ainsi à faux. Concernant, enfin, les critiques élevées par la recourante en lien avec la capacité de travail retenue par l’expert dans une activité adaptée, il appert que celles-ci reposent notamment sur les rapports de la Dre F______ des 21 mai et 18 septembre 2019. Ces rapports ne suffisent toutefois pas à remettre en cause la fiabilité des conclusions du Dr M______, dès lors que la Dre F______ se limite à indiquer que la capacité de travail de la recourante s’élève à 50% compte tenu de ses limitations fonctionnelles. L’expert a quant à lui expliqué de façon convaincante pour quelle raison il retenait que la recourante avait une capacité de travail entière dans une activité adaptée. Il a relevé qu’elle ne se plaignait que de lombalgies chroniques peu invalidantes, chiffrées à 2 ou 3/10 à l’EVA, et que ce n’était que lors d’efforts plus importants, sollicitant sa colonne parce que répétitifs ou réalisés dans de mauvaises positions, que ces lombalgies pouvaient augmenter jusqu’à 6/10. En évitant ces efforts inadaptés, l’état de santé de la recourante lui permettait de conserver un taux de pleine activité, soit 100%, sans entrainer de</w:t>
      </w:r>
    </w:p>
    <w:p>
      <w:r>
        <w:t>A/4277/2025 - 34/44 - recrudescence douloureuse importante. Il a enfin précisé qu’il n’y avait pas d’atteinte neurologique, ni de prise médicamenteuse limitant sa capacité de travail. Les autres avis médicaux mentionnés par la recourante ne contiennent aucune appréciation de la capacité de travail de la recourante dans une activité adaptée, à l’exception du rapport du Prof. L______, qui a été jugé non probant par la chambre de céans dans son arrêt du 14 novembre 2024. Compte tenu de ce qui précède, la recourante ne saurait être suivie lorsqu’elle affirme que sa capacité de travail ne serait que de 50% dans une activité adaptée.</w:t>
      </w:r>
    </w:p>
    <w:p>
      <w:r>
        <w:rPr>
          <w:b/>
        </w:rPr>
        <w:t>E. 14</w:t>
      </w:r>
    </w:p>
    <w:p>
      <w:r>
        <w:t>avril 2008 consid. 7.2.2 à 7.2.5 et les références). 7.5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w:t>
      </w:r>
    </w:p>
    <w:p>
      <w:r>
        <w:t>A/4277/2025 - 37/44 - nombreuses années et qu'une activité dans un autre domaine n'entre pas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8C_709/2023 du 8 mai 2024 consid. 6.2.1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 9C_242/2012 du 13 août 2012 consid. 3). Il convient de se référer à la version de l'ESS publiée au moment déterminant de la décision querellée (ATF 143 V 295 consid. 4 et les références ; arrêt du Tribunal fédéral 8C_801/2021 du 28 juin 2022 consid. 3.6). La table TA1_skill_level repose sur un système de niveaux de compétence par branches économiques alors que la table T17 repose sur un système de groupes de professions organisé selon des niveaux de compétences homogènes pour chaque grand groupe (arrêt du Tribunal fédéral 8C_709/2023 du 8 mai 2024 consid. 6.2.1). 7.6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w:t>
      </w:r>
    </w:p>
    <w:p>
      <w:r>
        <w:t>A/4277/2025 - 38/44 -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apparaître sa propre appréciation comme la mieux appropriée (ATF 137 V 71 consid. 5.2 et la référence). 7.7 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 8. En l’occurrence, la recourante conteste les revenus de valide et d’invalide retenus par l’intimée, étant rappelé que cette dernière lui a dénié le droit à une rente au motif que son taux d’invalidité ne s’élevait qu’à 5.38%.</w:t>
      </w:r>
    </w:p>
    <w:p>
      <w:r>
        <w:t>A/4277/2025 - 39/44 - 8.1 Il convient tout d’abord d’observer qu’un éventuel droit à la rente de la recourante est né au moment de la stabilisation de son état de santé, soit au mois de juillet 2019, de sorte qu’il sied de déterminer le salaire de valide qu’elle aurait perçu cette année-là, en partant du dernier salaire qu’elle a effectivement réalisé. À teneur de la déclaration de sinistre du 6 octobre 2017, la recourant travaillait à un taux de 38%, soit 17.5 heures par semaine, étant précisé que l’horaire de travail hebdomadaire dans l’entreprise était de 45 heures. Son salaire de base s’élevait à CHF 22.45 par heure, auquel s’ajoutait une indemnité pour vacances de 8.33%. La chambre de céans relève à ce propos que le salaire de la recourante est supérieur au montant minimal prévu par le contrat-type de travail avec salaires minimaux impératifs de l’économie domestique du 13 décembre 2011 (CTT-EDom – J 1 50.03), dans sa version applicable en 2019, s’agissant des employés non qualifiés (cf. art. 10 al. 1 let. f CTT-Edom), ce que la recourante ne conteste pas. Le 6 février 2018, l'employeur de la recourante a retourné à l’intimée un questionnaire concernant le salaire annuel brut de la recourante. Il a corrigé les indications déjà inscrites par l'assurance pour 2017, soit : « Fr. 22,45/h x 17,50h/s x 52s + 8,33% 13ème salaire », en barrant la mention « 13ème salaire » et la remplaçant par « vacances ». Pour 2018, il a noté : « (Fr 22.45 x 17,5h/sem) + 8,33% de vacances ». Par courriel du 22 juillet 2019, l’employeur de la recourante a informé l’intimée que les données salariales de la recourante n’avaient pas changé en 2019. Le salaire annuel se présentait de la façon suivante : « 22,45/h x 17.50/s x 52s + 8.33% vacances ». Il ressort de la décision querellée que l’intimée a retenu un revenu de valide de CHF 52'533.-, en le déterminant de la façon suivante : CHF 22.45 x 45 heures x 52 semaines = CHF 52'533.-. Ce faisant, elle a déterminé, conformément à la jurisprudence, le salaire annuel de valide correspondant à un temps plein (45 heures par semaine dans l’entreprise). La recourante a quant à elle calculé son revenu de valide de la façon suivante. - (22.45 x 17.50 x 52) + 8.33/100 x (22.45 x 17.50 x 52) = 22'131.27 ; - 22'131.27 x 100 / 38 = 58'240.20. La chambre de céans relève que le calcul de la recourante est erroné, dès lors qu’il se fonde sur un taux d’activité de 38%. Or, comme l’a souligné à raison l’intimée, le taux d’activité de la recourante s’élevait à 39%, et non à 38% (17.5 / 45 x 100 = 38.88%), la déclaration de sinistre s’avérant inexacte sur ce point. Par ailleurs, comme l’a remarqué l’intimée, la recourante a intégré deux fois le salaire afférent aux vacances dans le calcul de son revenu de valide, en multipliant</w:t>
      </w:r>
    </w:p>
    <w:p>
      <w:r>
        <w:t>A/4277/2025 - 40/44 - le salaire hebdomadaire par 52 semaines et en additionnant la part afférente aux vacances au montant obtenu. Or, lorsque le salaire horaire comprend une indemnité de vacances, les jours correspondants de vacances doivent être déduits du temps de travail annuel (cf. arrêt du Tribunal fédéral du 8C_520/2016 du 14 août 2017 consid. 4.3.2). In casu, il appert que la recourante percevait un salaire horaire de base de CHF 22.45, en sus duquel un taux de 8.33% était prévu au titre d’indemnités pour vacances. Dès lors, le calcul effectué par la recourante ne saurait être suivi, car il revient à tenir deux fois compte du salaire afférent aux vacances de la recourante (cf. arrêt du Tribunal fédéral du 8C_310/2018 du 18 décembre 2018 consid. 5.2). Il importe peu, à cet égard, que son employeur ait mentionné une formule erronée dans son courriel du 22 juillet 2019. Le calcul effectué par l’intimée est en revanche correct, dès lors qu’il consiste à déterminer le salaire annuel de la recourante en multipliant son salaire horaire de base, sans la part afférente aux vacances, au nombre total de semaines que comporte une année civile. Cela revient, en effet, à multiplier le salaire horaire de la recourante, part afférente aux vacances incluse, à 48 semaines de travail (temps de travail annuel déduit des jours de vacances), étant précisé qu’un taux de 8.33% correspond à un droit aux vacances de 4 semaines. Enfin, comme l’a relevé l’intimée, l’employeur de la recourante a indiqué que son salaire serait resté le même en 2019, de sorte qu’il n’y a pas lieu d’indexer le revenu de valide de la recourante. Partant, les critiques de la recourante à l’endroit du revenu de valide retenu par l’intimée sont infondées. Celui-ci s’élève ainsi à CHF 52'533.-. 8.2 Concernant le revenu d’invalide, la recourante estime dans son recours que celui-ci devrait être fixé en application de la table T17 de l’ESS, en se référant à la position 91, laquelle correspond au secteur « aides de ménage et de nettoyage ». Ce raisonnement ne saurait être suivi, dès lors que le secteur visé par la table T17 auquel se réfère la recourante n’est pas adapté à ses limitations fonctionnelles, comme en témoigne le rapport d’expertise du Dr M______. De même, il n’y a pas lieu de se référer aux lignes 77-82 de la table TA1, lesquelles concernent les activités de service administratif et de soutien. Il appert en effet que la ligne « total secteur privé » est à appliquer, dès lors que la recourante ne peut plus exercer son ancienne activité et est tributaire d’un nouveau domaine d’activité pour lequel l’ensemble du marché du travail est disponible. Dès lors, il y a lieu de se référer à la valeur médiane de la table TAI de l’ESS 2018, étant rappelé que la recourante, qui ne peut plus exercer son activité</w:t>
      </w:r>
    </w:p>
    <w:p>
      <w:r>
        <w:t>A/4277/2025 - 41/44 - habituelle, trop astreignante d’un point de vue physique pour son état de santé, conserve une capacité de travail entière dans des travaux légers. Partant, le salaire de référence est bien celui auquel peuvent prétendre les femmes effectuant une activité simple et répétitive (niveau de qualification 1) dans le secteur privé. Cela étant, contrairement à ce qu’a retenu l’intimée, ce montant ne s’élève pas à CHF 4'371.-, mais à CHF 4'316.- compte tenu des ESS publiées par l’OFS le 29 mai 2024, soit la version publiée au moment déterminant étant donné que la décision querellée a été rendue en date du 6 novembre 2025. Le calcul du salaire d’invalide se présente dès lors comme suit : (CHF 4'316.- x 12 = 51'792.- ; ESS 2018, TA1, tirage skill-level, ligne « total »). Comme les salaires bruts standardisés tiennent compte d'un horaire de quarante heures, soit d'une durée hebdomadaire de travail inférieure à la moyenne usuelle dans les entreprises en 2019 (41.7 heures par semaine ; Office fédéral de la statistique - statistique de la durée normale du travail dans les entreprises, DNT), ce montant doit être porté à CHF 53'993.16 (CHF 52'792.- x 41.7 / 40). Il convient encore d’indexer ce montant à l’année 2019, année déterminante pour la comparaison des revenus. Selon le tableau publié par l’OFS le 22 avril 2025, les salaires nominaux des femmes ont augmenté de 1% en 2019, si bien que le revenu avec invalidité s’élève à CHF 54'553.09 en 2019 ([1% x 53'993.16] + 53'993.16). 8.3 Il convient encore de déterminer si l’intimée a appliqué à raison un abattement de 10% sur le revenu avec invalidité de la recourante.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En l’occurrence, le Dr M______ a retenu plusieurs limitations fonctionnelles dans son rapport d’expertise. Le port de charges doit être limité à 5 kg au maximum, si possible de manière non répétitive, ou en ménageant des temps de récupération. La manipulation d’objets lourds, comme des déplacements de meubles volumineux est interdite. Tous les mouvements de flexion antérieure vers l’avant sont à proscrire, surtout s’ils sont répétés, ou avec des charges, de même que les mouvements de rotation, ou de torsion du tronc qu’il faut supprimer. Les travaux en position accroupie, ou sur les genoux ne sont pas envisageables. L’utilisation régulière d’outils lourds (plus de 3 kg) est également à éviter. Les stations debout ou assise prolongées doivent être limitées à 1 heure, et il n’y avait pas de limite pour la marche, ou pour l’alternance des stations debout ou assise. Il convient d’éviter le travail sur des échelles, alors que l’utilisation des escaliers ne pose pas de problème. La marche est également possible, mais limitée à 1h30.</w:t>
      </w:r>
    </w:p>
    <w:p>
      <w:r>
        <w:t>A/4277/2025 - 42/44 - La chambre de céans considère que les limitations fonctionnelles précitées n’empêchent pas la recourante d’effectuer des activités simples et légères des secteurs de la production et des services selon l’ESS 2018 (tableau TA1_skill_level et niveau de compétences 1), de sorte que l’intimée était fondée à retenir un taux d’abattement de 10% sur le salaire statistique. Par ailleurs, il n’y a pas lieu de tenir compte de circonstances étrangères à l'invalidité. En effet, l’absence de formation de la recourante n’est pas déterminante dans la mesure où l’intimée s’est fondée sur un niveau de compétences 1 correspondant à des tâches physiques ou manuelles simples et ne nécessitant aucune formation ni expérience professionnelle spécifique (arrêt du Tribunal fédéral 8C_90/2024 du 5 août 2024 consid. 5.4). La recourante a en outre la nationalité suisse. S’agissant de l’âge de la recourante, il convient de rappeler que le point de savoir si, dans le domaine de l'assurance-accidents obligatoire, l'âge avancé peut constituer un critère d'abattement ou si l'influence de l'âge sur la capacité de gain doit être prise en compte uniquement dans le cadre de la réglementation particulière de l'art. 28 al. 4 OLAA, n'a pas encore été tranché par le Tribunal fédéral (arrêt du Tribunal fédéral 8C_682/2023 du 24 avril 2024 consid. 4.3.2 et les références). Selon la jurisprudence, l'âge d'un assuré ne constitue pas en soi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professionnelles de l'assuré concerné (ATF 148 V 419 consid. 8.2 et la référence). Le Tribunal fédéral a jugé notamment,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(arrêt du Tribunal fédéral 8C_439/2017 du 6 octobre 2017). Dans un arrêt concernant une assurée âgée de 58 ans au moment de la naissance d’un éventuel droit à la rente, le Tribunal fédéral a rappelé que dans la mesure où les activités envisagées du niveau de compétence 1 ne requièrent ni formation, ni expérience professionnelle spécifique, les effets pénalisants au niveau salarial induits par l'âge ne peuvent pas être considérés comme suffisamment établis. En outre, ces emplois non qualifiés sont, en règle générale, disponibles indépendamment de l’âge de l’intéressé sur un marché du travail</w:t>
      </w:r>
    </w:p>
    <w:p>
      <w:r>
        <w:t>A/4277/2025 - 43/44 - équilibré (arrêt du Tribunal fédéral 8C_608/2021 du 26 avril 2022 consid. 4.3.2 et les références). En l’occurrence, la recourante avait 54 ans au moment de l’ouverture de son droit à la rente et n’expose pas pour quelle raison ses perspectives salariales seraient concrètement réduites sur le marché du travail en raison de son âge. À cet égard, il convient de rappeler que son revenu d’invalide a été déterminé en tenant compte d’un niveau de compétence 1, ce qui recouvre les emplois non qualifiés, lesquels sont en règle générale disponibles indépendamment de l’âge de l’intéressé. La recourante n’a du reste plus soutenu, à compter de son mémoire de recours, que le taux d’abattement à opérer sur le revenu d’invalide devrait être supérieur à 10%. Partant, le taux de 10% retenu par l’intimée au titre d’abattement peut être confirmé. Le revenu avec invalidité s’élève ainsi à CHF 49'079.78 (54'533.09 x 0.9), arrondi à CHF 49'080.-, en tenant compte d’un abattement de 10%. L’invalidité de la recourante peut ainsi être calculée comme suit : - (52'533 – 49'080) / 52'533 = 6.57%. Ce taux d’invalidité doit être arrondi à 7% (cf. ATF 130 V 121 consid. 3.2). Dans la mesure où il est inférieur à 10%, la recourante n’a pas droit à une rente d’invalidité. 9.</w:t>
      </w:r>
    </w:p>
    <w:p>
      <w:r>
        <w:t>9.1 A l’aune de ces éléments, le recours est rejeté. 9.2 Pour le surplus, la procédure est gratuite (art. 61 let. fbis LPGA a contrario).</w:t>
      </w:r>
    </w:p>
    <w:p>
      <w:r>
        <w:t>A/4277/2025 - 44/44 -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