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ATAS/370/2019 vom 24. April 2019</w:t>
      </w:r>
    </w:p>
    <w:p>
      <w:r>
        <w:t>GE Cour de justice, 2019-04-24, FR</w:t>
      </w:r>
    </w:p>
    <w:p>
      <w:r>
        <w:rPr>
          <w:b/>
        </w:rPr>
        <w:t xml:space="preserve">Quelle: </w:t>
      </w:r>
      <w:r>
        <w:t>https://mcp.opencaselaw.ch/entscheid/ge_gerichte_ATAS_370_2019</w:t>
      </w:r>
    </w:p>
    <w:p>
      <w:r>
        <w:t>FR: GE_GERICHTE ATAS/370/2019 du 24 avril 2019</w:t>
      </w:r>
    </w:p>
    <w:p>
      <w:r>
        <w:t>IT: GE_GERICHTE ATAS/370/2019 del 24 aprile 2019</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L'art. 61 LPGA prévoit que la procédure devant la chambre des assurances sociales est réglée par le droit cantonal, sous réserve de ce que celui-ci respecte les</w:t>
      </w:r>
    </w:p>
    <w:p>
      <w:r>
        <w:t>- 3/5-</w:t>
      </w:r>
    </w:p>
    <w:p>
      <w:r>
        <w:t>A/945/2019 exigences minimales requises par la LPGA. Les art. 38 à 41 LPGA sont applicables par analogie au délai de recours (art. 60 al. 2 LPGA). Les dispositions de la loi sur la procédure administrative du 12 septembre 1985 - LPA - E 5 10) sont applicables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Le délai légal ne peut être prolongé (art. 40 al. 1 LPGA et 16 al. 1 LPA).</w:t>
      </w:r>
    </w:p>
    <w:p>
      <w:r>
        <w:rPr>
          <w:b/>
        </w:rPr>
        <w:t>E. 3</w:t>
      </w:r>
    </w:p>
    <w:p>
      <w:r>
        <w:t>La décision qui n'est remise que contre la signature du destinataire ou d'un tiers habilité est réputée reçue au plus tard sept jours après la première tentative infructueuse de distribution (art. 38 al. 2bis LPGA et 62 al. 4 LPA). Lorsque le dernier jour du délai tombe un samedi, un dimanche ou sur un jour légalement férié, le délai expire le premier jour utile (art. 38 al. 3 LPGA et 17 al. 3 LPA). Les écrits doivent parvenir à l'autorité ou être mis à son adresse à un bureau de poste suisse ou à une représentation diplomatique ou consulaire suisse au plus tard le dernier jour du délai avant minuit (art. 39 al. 1 LPGA et 17 al. 4 LPA). Les délais sont réputés observés lorsqu'une partie s'adresse par erreur en temps utile à une autorité incompétente (art. 39 al. 2 LPGA et 17 al. 5 LPA). Il n’y a pas de formalisme excessif à considérer que la fiction de la notification à l’échéance du délai de garde de sept jours est également applicable lorsque La Poste, de sa propre initiative, accorde un délai de retrait plus long et que l’envoi n’est retiré que le dernier jour de ce délai ou lorsque cette prolongation procède d’une inadvertance d’un employé (ATF 127 I 34 consid. 2b). En effet, des accords particuliers avec La Poste ne permettent pas de repousser l’échéance de la notification, réputée intervenue à l’échéance du délai de sept jours (ATF 127 I 31 consid. 2a/aa; arrêt du Tribunal fédéral 6B_239/2011 du 22 mars 2012 consid. 3.5).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(ATF 139 IV 228 consid. 1.1 p. 230 et les références citées ; arrêt du Tribunal fédéral 8C_908/2017 du 17 janvier 2018).</w:t>
      </w:r>
    </w:p>
    <w:p>
      <w:r>
        <w:rPr>
          <w:b/>
        </w:rPr>
        <w:t>E. 4</w:t>
      </w:r>
    </w:p>
    <w:p>
      <w:r>
        <w:t>En l'occurrence, la recourante a reçu, le 11 janvier 2019, un avis avec un délai au 18 janvier 2019 pour retirer le pli recommandé. N'ayant pas retiré son pli dans ce délai, celui-ci est réputé avoir été notifié le 18 janvier 2019, à l'échéance du délai de garde de sept jours. Il n'y a pas lieu de tenir compte de la prolongation du délai de garde octroyé par la poste, conformément à la jurisprudence précitée. Le délai de trente jours était en conséquence écoulé le dimanche 17 février 2019 et le délai pour</w:t>
      </w:r>
    </w:p>
    <w:p>
      <w:r>
        <w:t>- 4/5-</w:t>
      </w:r>
    </w:p>
    <w:p>
      <w:r>
        <w:t>A/945/2019 recourir le premier jour ouvrable suivant, soit le lundi 18 février 2019. Le recours, ayant été adressé le 9 mars 2019 à la chambre de céans, a donc été formé tardivement.</w:t>
      </w:r>
    </w:p>
    <w:p>
      <w:r>
        <w:rPr>
          <w:b/>
        </w:rPr>
        <w:t>E. 5</w:t>
      </w:r>
    </w:p>
    <w:p>
      <w:r>
        <w:t>a. Reste à examiner si une restitution de délai peut être accordée.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s’agit-là de dispositions impératives auxquelles il ne peut être dérogé (Jurisprudence des autorités administratives de la Confédération [JAAC] 60/1996, consid. 5.4, p. 367;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b. En l’espèce, la recourante ne démontre pas qu'elle aurait été empêchée, sans faute de sa part, de recourir dans le délai. Elle devait en effet s’organiser pour que les plis recommandés qui lui étaient adressés soient cherchés en son absence, dans la mesure où elle devait s’attendre à recevoir une décision de la caisse suite à son opposition du 2 décembre 2018.</w:t>
      </w:r>
    </w:p>
    <w:p>
      <w:r>
        <w:rPr>
          <w:b/>
        </w:rPr>
        <w:t>E. 6</w:t>
      </w:r>
    </w:p>
    <w:p>
      <w:r>
        <w:t>En l'absence de motif valable de restitution de délai, le recours sera déclaré irrecevable pour cause de tardiveté.</w:t>
      </w:r>
    </w:p>
    <w:p>
      <w:r>
        <w:rPr>
          <w:b/>
        </w:rPr>
        <w:t>E. 7</w:t>
      </w:r>
    </w:p>
    <w:p>
      <w:r>
        <w:t>La procédure est gratuite (art. 61 let. a LPGA).</w:t>
      </w:r>
    </w:p>
    <w:p>
      <w:r>
        <w:t>- 5/5-</w:t>
      </w:r>
    </w:p>
    <w:p>
      <w:r>
        <w:t>A/945/2019</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