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ATAS/370/2017 vom 9. Mai 2017</w:t>
      </w:r>
    </w:p>
    <w:p>
      <w:r>
        <w:t>GE Cour de justice, 2017-05-09, FR</w:t>
      </w:r>
    </w:p>
    <w:p>
      <w:r>
        <w:rPr>
          <w:b/>
        </w:rPr>
        <w:t xml:space="preserve">Quelle: </w:t>
      </w:r>
      <w:r>
        <w:t>https://mcp.opencaselaw.ch/entscheid/ge_gerichte_ATAS_370_2017</w:t>
      </w:r>
    </w:p>
    <w:p>
      <w:r>
        <w:t>FR: GE_GERICHTE ATAS/370/2017 du 9 mai 2017</w:t>
      </w:r>
    </w:p>
    <w:p>
      <w:r>
        <w:t>IT: GE_GERICHTE ATAS/370/2017 del 9 maggio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t>A/3234/2016 - 8/19 -</w:t>
      </w:r>
    </w:p>
    <w:p>
      <w:r>
        <w:rPr>
          <w:b/>
        </w:rPr>
        <w:t>E. 3</w:t>
      </w:r>
    </w:p>
    <w:p>
      <w:r>
        <w:t>Le délai de recours est de 30 jours. Interjeté dans la forme et le délai prévus par la loi, le recours est recevable (art. 56 et 60 LPGA ; art. 89B de la loi sur la procédure administrative du 12 septembre 1985 - [LPA-GE - E 5 10]).</w:t>
      </w:r>
    </w:p>
    <w:p>
      <w:r>
        <w:rPr>
          <w:b/>
        </w:rPr>
        <w:t>E. 3.3</w:t>
      </w:r>
    </w:p>
    <w:p>
      <w:r>
        <w:t>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w:t>
      </w:r>
    </w:p>
    <w:p>
      <w:r>
        <w:t>A/3234/2016 - 10/19 -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4</w:t>
      </w:r>
    </w:p>
    <w:p>
      <w:r>
        <w:t>Le litige porte sur le droit de la recourante à une rente d’invalidité et à des mesures d’ordre professionnel.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En vertu de l’art. 29 al. 1 LAI, en vigueur depuis le 1er janvier 2008, le droit à la rente prend naissance au plus tôt à l’échéance d’une période de six mois à compter de la date à laquelle l’assuré a fait valoir son droit aux prestations conformément à l’art. 29 al. 1er LPGA, mais pas avant le mois qui suit le dix-huitième anniversaire de l’assuré. En d'autres termes, l’assuré n'a droit à l'intégralité des prestations que s’il a présenté sa demande dans le délai de six mois à partir de la survenance de l'incapacité de gain. S’il le fait plus tard, il perd son droit pour chaque mois de retard (arrêt du Tribunal fédéral 9C_432/2012 du 31 août 2012 consid. 3.3 ; Michel VALTERIO, Droit de l’assurance-vieillesse et survivants (AVS) et de l’assurance- invalidité (AI) – Commentaire thématique, 2011, n°2187 ss).</w:t>
      </w:r>
    </w:p>
    <w:p>
      <w:r>
        <w:t>A/3234/2016 - 9/19 -</w:t>
      </w:r>
    </w:p>
    <w:p>
      <w:r>
        <w:rPr>
          <w:b/>
        </w:rPr>
        <w:t>E. 7</w:t>
      </w:r>
    </w:p>
    <w:p>
      <w:r>
        <w:t>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(ATF 130 V 393 consid. 3.3 et ATF 104 V 136 consid. 2a).</w:t>
      </w:r>
    </w:p>
    <w:p>
      <w:r>
        <w:rPr>
          <w:b/>
        </w:rPr>
        <w:t>E. 8</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percevait une rémunération inférieure aux normes de salaire usuelles (arrêts du Tribunal fédéral des assurances I 168/05 du 24 avril 2006 consid.</w:t>
      </w:r>
    </w:p>
    <w:p>
      <w:r>
        <w:rPr>
          <w:b/>
        </w:rPr>
        <w:t>E. 9</w:t>
      </w:r>
    </w:p>
    <w:p>
      <w:r>
        <w:t>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w:t>
      </w:r>
    </w:p>
    <w:p>
      <w:r>
        <w:t>A/3234/2016 - 11/19 -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A/3234/2016 - 12/19 -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t>A/3234/2016 - 13/19 -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En l’espèce, l’OAI a fait siennes les conclusions du rapport d’examen rhumatologique du Dr H______, médecin au SMR, à teneur desquelles la recourante dispose d’une capacité de travail nulle dans les activités précédemment exercées de serveuse et d’hôtesse de promotion, mais entière dès le 16 avril 2010 dans toute activité adaptée permettant d’éviter les stations debout et assise prolongées, les marches sur terrain accidenté, sur une longue distance, les montées d’escaliers, le port répété de charges supérieures à 5 kilogrammes et les gestes au- dessus de l’horizontale. Pour sa part, la recourante s’estime incapable d’exercer une activité adaptée à plein temps et se prévaut des rapports de son médecin généraliste et de son chirurgien, les Drs G______ et C______, qui préconisent une reprise du travail à 50%.</w:t>
      </w:r>
    </w:p>
    <w:p>
      <w:r>
        <w:rPr>
          <w:b/>
        </w:rPr>
        <w:t>E. 13</w:t>
      </w:r>
    </w:p>
    <w:p>
      <w:r>
        <w:t>Afin de se prononcer sur la capacité de travail, il convient de se pencher sur la valeur probante de ces différents rapports. a. La chambre de céans constate que le rapport du Dr H______, spécialiste FMH en rhumatologie et médecin au SMR, est fondé sur une anamnèse détaillée effectuée en connaissance du dossier médical, sur les plaintes de la recourante et sur un examen clinique complet. Ses conclusions, selon lesquelles l’assurée présente une capacité de travail nulle dans les activités précédemment exercées de serveuse et d’hôtesse de promotion, mais entière dès le 16 avril 2010 dans toute activité adaptée à ses limitations fonctionnelles, sont claires et motivées. Elles rejoignent au demeurant le pronostic formulé par l’expert D______ en juillet 2009, selon lequel l’assurée devait récupérer sa capacité de travail rapidement après l’ablation du matériel d’ostéosynthèse. Du rapport du Dr H______, il ressort que l’état de santé de l’assurée s’est effectivement amélioré depuis l’ablation chirurgicale du matériel d’ostéosynthèse en 2009, dès lors que les signes d’algoneurodystrophie ont disparu. Malgré une légère boiterie du côté droit, l’assurée peut marcher rapidement, y compris sur les talons et la pointe des pieds. L’examinateur observe également qu’en avril 2010, le Dr F______ mentionnait déjà un périmètre de marche « peu restreint » et l’aptitude de l’assurée à sauter sur un pied et s’accroupir. Par ailleurs, l’assurée n’est plus suivie sur le plan orthopédique depuis septembre 2014 et se soigne avec un anti-</w:t>
      </w:r>
    </w:p>
    <w:p>
      <w:r>
        <w:t>A/3234/2016 - 14/19 - inflammatoire léger. Au niveau de l’épaule droite, seul un probable début d’arthrose acromio-claviculaire est évoqué, et s’agissant du dos, il est mentionné que l’assurée a présenté en 2013 des rachialgies, jugées non incapacitantes au regard de l’examen clinique et du fait que l’assurée ne s’en plaint plus. Au vu de ce qui précède, le rapport du Dr H______ revêt pleine valeur probante. b. Lorsqu'une appréciation repose sur une évaluation médicale complète, comme l’est celle du Dr H______, elle ne saurait être remise en cause pour le seul motif qu'un ou plusieurs médecins ont une opinion divergente. Encore faut-il faire état d'éléments objectivement vérifiables ayant été ignorés dans le cadre de cette évaluation et suffisamment pertinents pour remettre en cause le bien-fondé des conclusions ou en établir le caractère objectivement incomplet ou, à tout le moins, pour justifier la mise en oeuvre d'une mesure d'instruction complémentaire (arrêt du Tribunal fédéral 9C_117/2015 du 21 mai 2015 consid. 3.3). En l’occurrence, les Drs G______ et C______ se livrent à une simple appréciation divergente de la capacité de travail, sans faire état du moindre élément objectif qui n’aurait déjà été pris en compte par le Dr H______. En outre, leurs rapports sont peu motivés et n’expliquent pas clairement pourquoi la capacité de travail serait limitée à 50% dans les activités qu’ils jugent adaptées, soit des activités sédentaires exercée en alternance des positions et sans port de charges lourdes ; ces médecins semblent justifier leurs conclusions par les douleurs de l’assurée, mais il sied de relever que celles-ci sont traitées au besoin par un antalgique léger (Dafalgan), comme cela ressort du rapport du Dr H______. c. La recourante, qui ne prétend pas que le Dr H______ aurait ignoré des éléments cliniques ou diagnostiques essentiels, n'explique pas davantage en quoi le point de vue de ses médecins serait mieux fondé que celui de ce praticien. Faute d’élément propre à mettre en doute les conclusions du Dr H______, la chambre de céans retient au degré de la vraisemblance prépondérante que l’assurée bénéficie depuis avril 2010 d’une pleine capacité de travail dans toute activité adaptée aux limitations fonctionnelles énumérées par le SMR. Contrairement à ce que l’assurée semble considérer, ses limitations, bien que non négligeables, ne sont pas d’une ampleur telle qu’elles anéantiraient toute perspective d’engagement sur le marché équilibré du travail. Il en va de même de son âge – 58 ans au moment de l’examen du Dr H______ – qui ne facilite certes pas sa réinsertion, mais n’atteint pas le seuil à partir duquel on peut exclure selon les circonstances toute possibilité réaliste de retrouver un emploi (arrêts du Tribunal fédéral 9C_286/2015 du 12 janvier 2016 consid. 4.2 ; 9C_612/2007 du 14 juillet 2008 consid. 5.2).</w:t>
      </w:r>
    </w:p>
    <w:p>
      <w:r>
        <w:rPr>
          <w:b/>
        </w:rPr>
        <w:t>E. 14</w:t>
      </w:r>
    </w:p>
    <w:p>
      <w:r>
        <w:t>Sur la base de l’enquête économique du 22 mars 2016, l’intimé a retenu que l’assurée présentait des empêchements totaux de 14% dans ses travaux ménagers. La chambre de céans constate que cette enquête a été élaborée par une infirmière qualifiée en connaissance de la situation médicale, locale et des limitations</w:t>
      </w:r>
    </w:p>
    <w:p>
      <w:r>
        <w:t>A/3234/2016 - 15/19 - fonctionnelles. Elle tient compte des indications de l’assurée et du fait que cette dernière vit seule depuis le mois d’août 2014, de sorte qu’une participation de son fils aux travaux ménagers ne peut plus être exigée. En outre, ses conclusions quant aux empêchements dans les différents champs d’activité sont dûment motivées. Dans son recours, l’assurée ne remet en question ni la pondération, ni les empêchements retenus par cette enquête. Elle ne prétend pas davantage que ses déclarations y auraient été retranscrites de manière inexacte ou que d’éventuelles opinions divergentes y auraient été omises. Partant, il n’y a aucune raison de s’écarter des conclusions de ce document, qui satisfait aux réquisits jurisprudentiels, de sorte que l’on s’en tiendra aux empêchements ménagers de 14% qu’il atteste.</w:t>
      </w:r>
    </w:p>
    <w:p>
      <w:r>
        <w:rPr>
          <w:b/>
        </w:rPr>
        <w:t>E. 15</w:t>
      </w:r>
    </w:p>
    <w:p>
      <w:r>
        <w:t>À ce stade, il convient de vérifier le calcul du degré d’invalidité, partant de se prononcer sur le droit de la recourante à une rente. a. L'OAI a retenu un statut mixte, réparti à raison de 80% pour la sphère professionnelle et de 20% pour la sphère ménagère. Au stade de l’opposition, l’assurée semblait se prévaloir d’un statut d’active en affirmant qu’elle n’avait pas fait le choix de travailler à 80% et que les missions confiées par son ancien employeur l’occupaient parfois 52 heures par semaine. Dans son recours, elle ne reprend pas ce grief. Quoi qu’il en soit, il est inutile de se pencher plus avant sur la question du statut de l’assurée, voire sur la clé de répartition retenue par la décision attaquée entre les sphères professionnelle et ménagère (80% - 20%), dès lors que l’assurée présente des taux d’invalidité nettement inférieurs à 40% tant dans le domaine professionnel que dans le domaine ménager (cf. infra consid. 16c). b. Dans la sphère professionnelle, l’intimé admet dans sa réponse du 21 octobre 2016 une invalidité de 9%. Constatant qu’avant son accident, l’assurée percevait des revenus très irréguliers, il propose de fixer son revenu sans invalidité à CHF 41'623.- sur la base des données statistiques tirées des ESS 2010 pour une femme travaillant à 80% dans la vente de détail (tableau TA7, ligne 27, niveau 4). Quant au revenu d’invalide, il l’évalue à CHF 37’964.- en se référant au salaire statistique d’une femme exerçant une activité simple et répétitive à 80% selon l’ESS 2010 (tableau TA1, ligne total, niveau 4), duquel il a retranché 10% pour tenir compte des limitations fonctionnelles. L’assurée, qui se prévaut d’un revenu sans invalidité de CHF 36'924.-, ne conteste pas le revenu sans invalidité chiffré par l’intimé à CHF 41'623.-, qui lui est plus favorable et sera donc confirmé. Quant au revenu d’invalide, c’est également à bon droit que l’intimé l’a fixé sur la base de l’ESS 2010, l’assurée n’ayant pas repris d’activité lucrative depuis de nombreuses années. S’agissant de l’abattement retenu par l’intimé de 10%, on peut se demander s’il faudrait retenir le critère de l’âge en sus de celui des limitations fonctionnelles, les autres critères jurisprudentiels n’étant clairement pas réalisés. La question peut cependant rester indécise, car si tant est que ce critère supplémentaire soit pertinent en l’espèce, il n’entraînerait qu’une</w:t>
      </w:r>
    </w:p>
    <w:p>
      <w:r>
        <w:t>A/3234/2016 - 16/19 - augmentation minime de l’abattement et donc du degré d’invalidité, de l’ordre de 5%, ce qui ne changerait rien à l’issue de la cause. c. De la comparaison des revenus effectuée par l’intimé, il résulte une perte de gain de 8,8% dans la sphère professionnelle [100 x (41’623 – 37’964) / 41’623]. De l’enquête du 22 mars 2016, il ressort des empêchements ménagers de 14 %. Le degré d’invalidité global, tenant compte des sphères professionnelle et ménagère, s’élève à 9,8% [(80% x 8,8%) + (20% x 14%)]. Inférieur à 40%, ce taux n’ouvre pas droit au versement d’une rente d’invalidité (art. 28 al. 1 LAI).</w:t>
      </w:r>
    </w:p>
    <w:p>
      <w:r>
        <w:rPr>
          <w:b/>
        </w:rPr>
        <w:t>E. 16</w:t>
      </w:r>
    </w:p>
    <w:p>
      <w:r>
        <w:t>Reste à examiner si l’assurée peut prétendre à des mesures d’ordre professionnel.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(orientation professionnelle, formation professionnelle initiale, reclassement, placement, aide en capital). b.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c.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Il</w:t>
      </w:r>
    </w:p>
    <w:p>
      <w:r>
        <w:t>A/3234/2016 - 17/19 - n’est pas nécessaire de présenter une perte de gain pour bénéficier d’une telle mesure (arrêt du Tribunal fédéral 9C_385/2009 du 13 octobre 2009). d. Aux termes de l'art. 18 al. 1 LAI, dans sa teneur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arrêts du Tribunal fédéral I 170/06 et 9C_879/2008 des 26 février 2007 et 21 janvier 2009 et les références). e. En l’espèce, la chambre de céans constate que la décision attaquée, bien qu’intitulée « refus de rente d’invalidité et de mesures professionnelles », n’est curieusement motivée que sous l’angle du refus de la rente d’invalidité. Force est d’en déduire que l’intimé a manifestement omis de se pencher sur l’octroi de mesures d’ordre professionnel. Or, il ne saurait se dispenser d’examiner le droit à d’éventuelles mesures de réadaptation, notamment à une orientation professionnelle, à une aide au placement ou à toute autre mesure susceptible d’entrer en considération, dès lors que l’assurée ne peut plus travailler ni comme serveuse ni comme hôtesse de promotion et qu’elle requiert précisément une aide en vue de trouver une activité adaptée à son handicap. De surcroît, il paraît opportun de rappeler que les médecins ont émis des recommandations allant dans le sens d’une réadaptation, notamment les Drs C______ et H______, ce dernier ayant suggéré une « remise à niveau » dans l’activité de secrétaire exercée jusqu’en 1982. Comme il n’appartient pas à la juridiction cantonale de statuer à la place de l’administration sur le droit à des mesures de réadaptation – ce qui contreviendrait au principe du double degré de juridiction – la cause lui sera renvoyée. À cet égard, on rappellera que seuls peuvent être jugés les rapports juridiques à propos desquels l’autorité administrative s’est préalablement prononcée par le biais d’une décision (ATF 131 V 164 consid. 2.1 ; 125 V 414 consid. 1a ; 119 Ib 36 consid. 1b et les références).</w:t>
      </w:r>
    </w:p>
    <w:p>
      <w:r>
        <w:rPr>
          <w:b/>
        </w:rPr>
        <w:t>E. 17</w:t>
      </w:r>
    </w:p>
    <w:p>
      <w:r>
        <w:t>La recourante requiert la mise en œuvre par la chambre de céans d’une audience de comparution personnelle. Toutefois, la documentation médicale versée au dossier permet déjà à la chambre de céans de statuer en connaissance de cause sur le degré d’invalidité et le droit à la rente, de sorte que la mesure d’instruction sollicitée sera rejetée, par appréciation anticipée des preuves.</w:t>
      </w:r>
    </w:p>
    <w:p>
      <w:r>
        <w:t>A/3234/2016 - 18/19 -</w:t>
      </w:r>
    </w:p>
    <w:p>
      <w:r>
        <w:rPr>
          <w:b/>
        </w:rPr>
        <w:t>E. 18</w:t>
      </w:r>
    </w:p>
    <w:p>
      <w:r>
        <w:t>Au vu de ce qui précède, le recours est partiellement admis et la décision litigieuse annulée en tant qu’elle nie le droit à des mesures d’ordre professionnel. La cause est renvoyée à l’intimé, à charge pour celui-ci d’examiner si l’assurée peut prétendre à de telles mesures puis de rendre une nouvelle décision – motivée – sur ce point. Pour le surplus, la décision attaquée est confirmée en tant qu’elle refuse le versement d’une rente d’invalidité.</w:t>
      </w:r>
    </w:p>
    <w:p>
      <w:r>
        <w:rPr>
          <w:b/>
        </w:rPr>
        <w:t>E. 19</w:t>
      </w:r>
    </w:p>
    <w:p>
      <w:r>
        <w:t>La procédure de recours en matière de contestation portant sur l’octroi ou le refus de prestations de l’assurance-invalidité étant soumise à des frais de justice, un émolument de CHF 200.- est mis à charge de l’intimé (art. 69 al. 1 bis LAI).</w:t>
      </w:r>
    </w:p>
    <w:p>
      <w:r>
        <w:t>A/3234/2016 - 19/19 -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