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ATAS/370/2016 vom 12. Mai 2016</w:t>
      </w:r>
    </w:p>
    <w:p>
      <w:r>
        <w:t>GE Cour de justice, 2016-05-12, FR</w:t>
      </w:r>
    </w:p>
    <w:p>
      <w:r>
        <w:rPr>
          <w:b/>
        </w:rPr>
        <w:t xml:space="preserve">Quelle: </w:t>
      </w:r>
      <w:r>
        <w:t>https://mcp.opencaselaw.ch/entscheid/ge_gerichte_ATAS_370_2016</w:t>
      </w:r>
    </w:p>
    <w:p>
      <w:r>
        <w:t>FR: GE_GERICHTE ATAS/370/2016 du 12 mai 2016</w:t>
      </w:r>
    </w:p>
    <w:p>
      <w:r>
        <w:t>IT: GE_GERICHTE ATAS/370/2016 del 12 maggio 2016</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Interjeté dans les forme et délai prévus par la loi, le recours est recevable, en vertu des art. 56ss LPGA.</w:t>
      </w:r>
    </w:p>
    <w:p>
      <w:r>
        <w:rPr>
          <w:b/>
        </w:rPr>
        <w:t>E. 5</w:t>
      </w:r>
    </w:p>
    <w:p>
      <w:r>
        <w:t>Le litige porte sur le droit de l’assurée à une rente d’invalidité.</w:t>
      </w:r>
    </w:p>
    <w:p>
      <w:r>
        <w:t>A/798/2013 - 11/21 -</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donc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8</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w:t>
      </w:r>
    </w:p>
    <w:p>
      <w:r>
        <w:t>A/798/2013 - 12/21 -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Mais dans un arrêt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dû convenir que la présomption du caractère surmontable retenue jusqu’alors s’opposait à deux égards à une investigation complète des circonstances déterminantes pour l’incapacité de travail : d’une part, la focalisation sur des indices pouvant éventuellement renverser la présomption avait pour conséquence que l’on cherchait avant tout des aspects invalidants, alors que les ressources avaient tendance à être négligées, d’autre part, la présomption du caractère surmontable incitait parfois à sélectionner sur la base des critères les éléments de fait déterminants de manière à ce que le cas type soit réalisé, ce qui conduisait à une schématisation contraire à la libre appréciation des preuves et à l’application d’office du droit. Au surplus, la présomption favorisait la conception que le caractère surmontable était indivisible, de sorte que seule une incapacité de travail entière pouvait entrer en considération (arrêt op. cit. consid. 3.4.2). Fort de ce constat,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t>A/798/2013 - 13/21 -</w:t>
      </w:r>
    </w:p>
    <w:p>
      <w:r>
        <w:rPr>
          <w:b/>
        </w:rPr>
        <w:t>E. 9</w:t>
      </w:r>
    </w:p>
    <w:p>
      <w:r>
        <w:t>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 Les experts doivent donc donner des explications quant au diagnostic, afin d’établir le caractère de maladie, mais également quant aux atteintes concrètes des fonctions nécessaires à la gestion du quotidien, lesquelles seront aussi reprises dans l’estimation de la capacité de travail. A cet égard, il ne faut inclure dans la « preuve cohérente d’une activité et d’une participation perturbées » que des déficits fonctionnels émanant des observations qui ont également été déterminantes pour le diagnostic de l’atteinte à la santé, en confirmant ou en rejetant des limitations fonctionnelles alléguées par un examen consciencieux de plausibilité (arrêt op. cit. consid. 2.1.2 ; ATF 140 V 290, consid. 3.3.1, p. 296 et consid. 3.3.2 au début, p. 297). Il conviendra également que les experts se prononcent sur l’existence ou non d’une limitation résultant d'une exagération des symptômes ou d'une constellation semblable (se manifestant par une discordance substantielle entre les douleurs décrites et le comportement observé ou l’anamnèse, l'allégation d'intenses douleurs dont les caractéristiques demeurent vagues, l'absence de demande de soins médicaux, le fait que des plaintes très démonstratives laissent insensible l'expert, ou encore, l'allégation de lourds handicaps malgré un environnement psychosocial intact étant précisé qu’un simple comportement explicite n’indique pas en soi une exagération ; arrêt op. cit. consid. 2.2.1).</w:t>
      </w:r>
    </w:p>
    <w:p>
      <w:r>
        <w:rPr>
          <w:b/>
        </w:rPr>
        <w:t>E. 10</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w:t>
      </w:r>
    </w:p>
    <w:p>
      <w:r>
        <w:t>A/798/2013 - 14/21 -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S’agissant en particulier des troubles moteurs dissociatifs, le TF a confirmé a plusieurs reprise sa jurisprudence, notamment dans plusieurs arrêts de principe (cf. ATF 140 V 8 consid. 2.2.1.3 p. 13 s.; 137 V 64 consid. 4.2 p. 68; 136 V 279 consid. 3.2.1 p. 282 ; cf. également arrêt 8C_607/2015 du 3 février 2016).</w:t>
      </w:r>
    </w:p>
    <w:p>
      <w:r>
        <w:rPr>
          <w:b/>
        </w:rPr>
        <w:t>E. 11</w:t>
      </w:r>
    </w:p>
    <w:p>
      <w:r>
        <w:t>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Ces indicateurs peuvent être systématisés de la manière suivante : Catégorie « degré de gravité fonctionnel » - complexe « atteinte à la santé » : • expression des éléments pertinents pour le diagnostic</w:t>
      </w:r>
    </w:p>
    <w:p>
      <w:r>
        <w:t>A/798/2013 - 15/21 - • succès du traitement et de la réadaptation ou résistance à cet égard • comorbidités - complexe « personnalité » : diagnostic de la personnalité, ressources personnelles - complexe « contexte social » Catégorie « cohérence » (comportement) - limitation uniforme du niveau des activités dans tous les domaines de la vie - poids des souffrances révélé par l’anamnèse (cf. traitements et réadaptation)</w:t>
      </w:r>
    </w:p>
    <w:p>
      <w:r>
        <w:rPr>
          <w:b/>
        </w:rPr>
        <w:t>E. 12</w:t>
      </w:r>
    </w:p>
    <w:p>
      <w:r>
        <w:t>En l’espèce, l’expert neurologue a rendu un rapport basé sur une documentation complète et des diagnostics précis, comportant une discussion convaincante des diagnostics retenus et apportant des réponses motivées, exhaustives et sans équivoque aux questions posées. Elle peut donc se voir reconnaître pleine valeur probante, ce qu’aucune des parties ne conteste d’ailleurs. On rappellera par ailleurs qu’en principe, le juge ne s'écarte pas sans motifs impératifs des conclusions d'une expertise médicale judiciaire, la tâche de l'expert étant précisément de mettre ses connaissances spéciales à disposition de la justice afin de l'éclairer sur les aspects médicaux d'un état de fait donné. Se pose en revanche la question de savoir si une expertise complémentaire psychiatrique est nécessaire, étant rappelé qu’il n’est désormais plus contesté que la nouvelle jurisprudence du Tribunal fédéral doit trouver ici application, dans la mesure où la procédure était pendante au moment où elle a été adoptée, d’une part, où les troubles moteurs dissociatifs tels que celui retenu par l’expert judiciaire en l’occurrence y sont soumis de jurisprudence constante, d’autre part. Pour répondre à cette question, il convient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cas échéant en les mettant en relation avec d'autres rapports médicaux - permettent ou non une appréciation concluante du cas à l'aune des indicateurs déterminants (ATF 141 V 281 consid. 8 p. 309). Dans la nouvelle jurisprudence 9C_492/2014, si le Tribunal fédéral a abandonné la présomption du caractère surmontable d'un syndrome douloureux somatoforme,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w:t>
      </w:r>
    </w:p>
    <w:p>
      <w:r>
        <w:t>A/798/2013 - 16/21 -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arrêts 9C_899/2014 et 9C_173/2015). En l'occurrence, aucun motif d’exclusion du droit aux prestations n’a été mis en évidence par les nombreux médecins qui se sont déjà prononcés, que ce soit les neurologues ou le psychiatre traitant. Au contraire, les plaintes de l’assurée ont été corroborées et les tremblements objectivés par les différents intervenants. Aucun n’a mis en doute l’existence de ceux-ci et les neurologues ont clairement exclu que les tremblements soient feints, simulés ou même exagérés. À cet égard, une expertise supplémentaire n’apparaît donc pas nécessaire. Reste à examiner si les rapports et examens des médecins et expert judiciaire permettent d’examiner la réalisation des nouveaux critères énoncés par notre Haute Cour. Le premier indicateur mentionné est celui de « l’expression des éléments pertinents pour le diagnostic et des symptômes ». À cet égard, on attend des experts que leurs constatations relatives aux manifestations concrètes de l’atteinte à la santé diagnostiquée permettent de distinguer les limitations fonctionnelles qui résultent de l’atteinte des conséquences (directes) de facteurs non assurés. C’est dans ce cadre qu’il convient d’examiner, par exemple, s’il y a exagération sans qu’il faille a priori exclure de ce fait une atteinte à la santé significative sur le plan juridique. La gravité de l’évolution de la maladie doit aussi être rendue plausible à l’aide de tous les éléments disponibles provenant de l’étiologie et de la pathogenèse déterminantes pour le diagnostic. En l’occurrence, les limitations fonctionnelles ont été clairement énoncées par l’expert judiciaire. Tous les médecins s’étant exprimés, sans exception, ont reconnu l’impact - qualifié de « majeur » par le Dr E______ - des tremblements de l’assurée sur ses activités. Par ailleurs, comme déjà dit, tout élément d’exagération a été écarté par l’expert judiciaire. De ce point de vue encore, une expertise supplémentaire apparaît inutile. Le second indicateur mentionné est le succès du traitement ou la résistance à cet égard, c’est-à-dire l’évolution et le résultat des thérapies.</w:t>
      </w:r>
    </w:p>
    <w:p>
      <w:r>
        <w:t>L’échec définitif d’une thérapie médicalement indiquée, réalisée lege artis sur un assuré qui coopère de manière optimale, permet de conclure à un pronostic négatif, alors qu’on ne pourra rien déduire s’agissant du degré de gravité de la pathologie si, en revanche, le traitement resté sans résultat ne correspond pas (ou plus) à l’état actuel de la médecine ou paraît inapproprié dans le cas d’espèce.</w:t>
      </w:r>
    </w:p>
    <w:p>
      <w:r>
        <w:t>A/798/2013 - 17/21 -</w:t>
      </w:r>
    </w:p>
    <w:p>
      <w:r>
        <w:t>A cet égard, l’expert judiciaire a souligné la durée de l’évolution de la maladie dans le temps. S’il a préconisé une physiothérapie, il a également convenu que les résultats n’étaient pas garantis et ne pourraient se faire sentir qu’après des mois, voire des années.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 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L’importance accordée jusque-là à « sa gravité, son acuité et sa durée » n’est plus relevante. En l’occurrence, le psychiatre traitant a clairement indiqué que l’état dépressivo- anxieux initialement présent avait bien répondu au traitement et était en rémission depuis fin 2012, de sorte qu’il n’y a pas lieu à investiguer plus avant, le seul trouble psychique étant finalement celui retenu par l’expert judiciaire. À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En l’occurrence, cependant, l’expert judiciaire a d’ores et déjà établi que le trouble ne pouvait être surmonté et n’était pas maîtrisable par la recourante. Enfin, le contexte social, qui influence aussi la manière dont se manifestent concrètement les effets de l’atteinte à la santé, constitue un cinquième indicateur. À ce sujet, il y a deux choses à retenir : d’une part, dans la mesure où elles ont directement des conséquences fonctionnelles négatives, les contraintes sociales continuent à ne pas être prises en considération. D’autre part, des ressources (mobilisables) peuvent aussi être tirées du contexte de vie de la personne assurée, notamment le soutien dont elle bénéficie dans son réseau social. Il faut toujours s’assurer que l’incapacité de gain pour des raisons de santé, d’une part, et l’absence de revenus non assurés ou d’autres situations éprouvantes, d’autre part, ne se recouvrent pas (arrêt op. cit. consid. 4.3.3). Il n’apparaît cependant pas que ce soit le cas en l’espèce. On ajoutera que les limitations que rencontrent la recourante sont uniformes dans tous les domaines, puisqu’elle est entravée tant dans ses activités ménagères que professionnelles et dans sa toilette.</w:t>
      </w:r>
    </w:p>
    <w:p>
      <w:r>
        <w:t>A/798/2013 - 18/21 - Eu égard aux considérations qui précèdent, la Cour de céans considère que les rapports médicaux versés au dossier sont suffisants pour examiner les nouveaux critères jurisprudentiels, étant par ailleurs rappelé que, contrairement à ce qui prévaut en matière de trouble somatoforme douloureux à proprement parler, on se trouve ici devant un trouble moteur objectivé par tous les médecins, non feint, non simulé et non exagéré, entraînant des limitations également non contestées, évaluées par l’expert judiciaire à 40% dans une activité adaptée. Pour son évaluation de la capacité de travail, l’expert s’est basé exclusivement sur les déficits fonctionnels constatés objectivement, en précisant une fois encore que ce n’est pas parce que le trouble est psychique qu’il faut en conclure qu’il serait surmontable. Il convient à cet égard de rappeler que, selon la nouvelle jurisprudence, l’évaluation de l’invalidité dans des cas de troubles psychosomatiques doit aujourd’hui davantage tenir compte de l’aspect des répercussions fonctionnelles. En l’occurrence, dans la mesure où les répercussions fonctionnelles de l’atteinte à la santé constatée médicalement sont prouvées de manière définitive et sans contradiction avec une vraisemblance prépondérante au moyen des indicateurs standards, il convient de reconnaître un caractère invalidant aux tremblements de l’assurée et de se ranger à l’appréciation de la capacité résiduelle de travail de l’expert, soit 60% dans une activité adaptée et ce, depuis 2012, époque où l’assurée n’a plus pu porter d’objets du côté droit.</w:t>
      </w:r>
    </w:p>
    <w:p>
      <w:r>
        <w:rPr>
          <w:b/>
        </w:rPr>
        <w:t>E. 13</w:t>
      </w:r>
    </w:p>
    <w:p>
      <w:r>
        <w:t>Il convient à présent de se prononcer sur le taux d'invalidité. a) Conformément à l'art. 28 al. 1 LAI, l'assuré a droit à un quart de rente s'il est invalide à 40% au moins, à une demi-rente s’il est invalide à 50%, à un trois-quarts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A/798/2013 - 19/21 -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la recourante a travaillé en dernier lieu en tant qu’indépendante. Si les bilans des années 2010 et 2011 figurent certes au dossier, le montant du revenu déclaré à l’AVS en 2011 fait défaut. Par ailleurs, jamais l’intimé ne s’est exprimé - bien qu’il y ait été plusieurs fois invité - sur le calcul du degré d’invalidité. Dans ces circonstances, il convient de renvoyer la cause à l’intimé afin qu’il procède aux investigations nécessaires à l’établissement du revenu avant invalidité puis au calcul du degré d’invalidité compte tenu d’une capacité résiduelle de travail de 60% dans une activité adaptée telle que décrite par l’expert judiciaire, après consultation de sa division de réadaptation professionnelle et examen d’une éventuelle réduction du revenu d’invalide à prendre en considération. Cas échéant, il conviendra également qu’il se prononce sur l’octroi éventuel de mesures de réadaptation.</w:t>
      </w:r>
    </w:p>
    <w:p>
      <w:r>
        <w:t>A/798/2013 - 20/21 -</w:t>
      </w:r>
    </w:p>
    <w:p>
      <w:r>
        <w:rPr>
          <w:b/>
        </w:rPr>
        <w:t>E. 14</w:t>
      </w:r>
    </w:p>
    <w:p>
      <w:r>
        <w:t>Eu égard aux considérations qui précèdent, le recours est partiellement admis, la décision litigieuse annulée et la cause renvoyée à l’intimé pour instruction complémentaire au sens des considérants.</w:t>
      </w:r>
    </w:p>
    <w:p>
      <w:r>
        <w:t>A/798/2013 - 21/21 -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