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ATAS/36/2025 vom 23. Januar 2025</w:t>
      </w:r>
    </w:p>
    <w:p>
      <w:r>
        <w:t>GE Cour de justice, 2025-01-23, FR</w:t>
      </w:r>
    </w:p>
    <w:p>
      <w:r>
        <w:rPr>
          <w:b/>
        </w:rPr>
        <w:t xml:space="preserve">Quelle: </w:t>
      </w:r>
      <w:r>
        <w:t>https://mcp.opencaselaw.ch/entscheid/ge_gerichte_ATAS_36_2025</w:t>
      </w:r>
    </w:p>
    <w:p>
      <w:r>
        <w:t>FR: GE_GERICHTE ATAS/36/2025 du 23 janvier 2025</w:t>
      </w:r>
    </w:p>
    <w:p>
      <w:r>
        <w:t>IT: GE_GERICHTE ATAS/36/2025 del 23 gennaio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 Le délai de recours est de 30 jours (art. 60 al. 1 LPGA ; art. 62 al. 1 LPA ; art. 9 de la loi sur les prestations fédérales complémentaires à l’assurance- vieillesse et survivants et à l’assurance-invalidité du 14 octobre 1965 [LPFC - J 4 20] ; art. 43 LPCC). Lorsque le délai échoit un samedi, un dimanche ou un jour férié selon le droit fédéral ou cantonal, son terme est reporté au premier jour ouvrable qui suit (art. 38 al. 3 LPGA et 17 al. 3 LPA).</w:t>
      </w:r>
    </w:p>
    <w:p>
      <w:r>
        <w:t>A/1890/2024 - 8/25 -</w:t>
      </w:r>
    </w:p>
    <w:p>
      <w:r>
        <w:rPr>
          <w:b/>
        </w:rPr>
        <w:t>E. 1.4</w:t>
      </w:r>
    </w:p>
    <w:p>
      <w:r>
        <w:t>Datée du 2 mai 2024, la décision litigieuse a été reçue le lendemain. Ayant commencé à courir le 4 mai 2024, le délai de recours est arrivé à échéance le</w:t>
      </w:r>
    </w:p>
    <w:p>
      <w:r>
        <w:rPr>
          <w:b/>
        </w:rPr>
        <w:t>E. 3</w:t>
      </w:r>
    </w:p>
    <w:p>
      <w:r>
        <w:t>Le litige porte sur le bien-fondé de la demande en restitution de la somme de CHF 75’534.- formée par l’intimé et correspondant aux prestations qu’il estime avoir versées à tort à la recourante pour la période du 1er avril 2017 au 31 décembre 2022, en particulier sur le point de savoir si la créance de l’intimé est périmée.</w:t>
      </w:r>
    </w:p>
    <w:p>
      <w:r>
        <w:rPr>
          <w:b/>
        </w:rPr>
        <w:t>E. 4</w:t>
      </w:r>
    </w:p>
    <w:p>
      <w:r>
        <w:t>Sur le plan fédéral, les personnes qui ont leur domicile et leur résidence habituelle en Suisse et qui remplissent les conditions personnelles prévues aux art. 4, 6 et</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30’000.- pour les personnes seules et CHF 50’000.- pour les couples (CHF 37’500.- pour les personnes seules et CHF 60’000.- pour les couples jusqu’au 31 décembre 2020)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Selon l’art. 17a al. 1 OPC-AVS/AI,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17a al. 4 OPC-AVS/AI). L’art. 17a al. 4 OPC-AVS/AI constitue une dérogation au principe selon lequel la fortune prise en compte doit être évaluée selon les règles de la législation sur</w:t>
      </w:r>
    </w:p>
    <w:p>
      <w:r>
        <w:t>A/1890/2024 - 10/25 - l’impôt cantonal direct du canton du domicile (Erwin CARIGIET, Uwe KOCH, Ergänzungsleistungen zur AHV/IV, 3e éd., 2021, p. 239-240).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 ch. 3445.04 des Directives concernant les prestations complémentaires à l’AVS et à l’AI [DPC]).</w:t>
      </w:r>
    </w:p>
    <w:p>
      <w:r>
        <w:rPr>
          <w:b/>
        </w:rPr>
        <w:t>E. 4.3</w:t>
      </w:r>
    </w:p>
    <w:p>
      <w:r>
        <w:t>Selon l’art. 11 al. 1 let. b LPC, les revenus déterminants comprennent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(ATAS/1127/2017 du 11 décembre 2017). 5. S’agissant des dépenses, elles comprennent notamment les frais d’entretien des bâtiments et les intérêts hypothécaires, jusqu’à concurrence du rendement brut de l’immeuble (art. 10 al. 3 let. b LPC). 5.1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w:t>
      </w:r>
    </w:p>
    <w:p>
      <w:r>
        <w:t>A/1890/2024 - 11/25 - 5.2 Pour le canton de Genève, l’art. 20 al. 2 du règlement d’application de la loi sur l’imposition des personnes physiques du 13 janvier 2010 (RIPP - D 3 08.1) – dispose que cette déduction forfaitaire, calculée sur la valeur locative selon l’art. 24 al. 2 de la loi sur l’imposition des personnes physiques du 27 septembre 2009 (LIPP - D 3 08), s’élève à 10% si l’âge du bâtiment au début de la période fiscale est inférieur ou égal à dix ans, et à 20%, si l’âge du bâtiment au début de la période fiscale est supérieur à dix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 6. S’agissant du taux de conversion applicable pour le calcul de la fortune immobilière et de la valeur locative y relative, il y a lieu d’appliquer les DPC. Le taux de conversion, selon le chiffre 3453.01 DPC, correspond au cours du jour fixé par la Banque centrale européenne (ci-après : BCE).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notamment ATAS/1146/2019 du 9 décembre 2019). 7.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w:t>
      </w:r>
    </w:p>
    <w:p>
      <w:r>
        <w:t>A/1890/2024 - 12/25 - art. 50 let. e et 58 de ladite loi, qui ne sont pas applicables. Les règles d’évaluation prévues par la loi fédérale et ses dispositions d’exécution sont réservées (al. 2).</w:t>
      </w:r>
    </w:p>
    <w:p>
      <w:r>
        <w:rPr>
          <w:b/>
        </w:rPr>
        <w:t>E. 8</w:t>
      </w:r>
    </w:p>
    <w:p>
      <w:r>
        <w:t>En l’espèce, c’est dans le cadre de la révision périodique du dossier de la recourante, initiée le 11 août 2023, que l’intimé s’est fait remettre, à sa demande, en septembre 2023, le rapport d’évaluation du 17 août 2023 estimant le prix du marché des biens situés nos 75 et 85 à EUR 97’589.90 (parcelle n° 2______), respectivement EUR 95’868.70 (parcelle n° 1______). Les décisions des 21 et 28 mars 2024, adressées le 2 avril à la recourante, mettent correctement en œuvre les principes exposés ci-dessus. En particulier, les plans de calcul de la décision du 21 mars 2024, réclamant la restitution de CHF 44’463.- au titre des PC pour la période du 1er avril 2017 au 31 mars 2024 tiennent compte de la fortune immobilière, déterminée en fonction du rapport d’évaluation du 17 août 2023, et d’une valeur locative de 4.5%, ces montants variant en fonction du taux de conversion EUR-CHF fixé par la BCE. Par ailleurs, ces plans de calcul tiennent compte, au titre des dépenses reconnues, des frais d’entretien des bâtiments à concurrence de 20% de la valeur locative. Dans la mesure où les montants soumis à restitution ne sont pas contestés en tant que tels et n’apparaissent pas non plus contestables, c’est en principe à juste titre que l’intimé a fixé à CHF 75’534.- la somme des prestations à rembourser.</w:t>
      </w:r>
    </w:p>
    <w:p>
      <w:r>
        <w:rPr>
          <w:b/>
        </w:rPr>
        <w:t>E. 9</w:t>
      </w:r>
    </w:p>
    <w:p>
      <w:r>
        <w:t>Il reste en revanche à déterminer si, comme le fait valoir la recourante, l’intimé aurait tardé à faire valoir ses droits. En d’autres termes, il convient de vérifier si les conditions de la restitution sont réalisées.</w:t>
      </w:r>
    </w:p>
    <w:p>
      <w:r>
        <w:rPr>
          <w:b/>
        </w:rPr>
        <w:t>E. 9.1</w:t>
      </w:r>
    </w:p>
    <w:p>
      <w:r>
        <w:t>S’agissant des prestations complémentaires fédérales, selon l’art. 25 al. 1, 1ère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 cf. Ueli KIESER, 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w:t>
      </w:r>
    </w:p>
    <w:p>
      <w:r>
        <w:t>A/1890/2024 - 13/25 -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w:t>
      </w:r>
    </w:p>
    <w:p>
      <w:r>
        <w:rPr>
          <w:b/>
        </w:rPr>
        <w:t>E. 9.2</w:t>
      </w:r>
    </w:p>
    <w:p>
      <w:r>
        <w:t>Au plan cantonal, l’art. 24 al. 1 1ère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9.3</w:t>
      </w:r>
    </w:p>
    <w:p>
      <w:r>
        <w:t>Conformément à l’art. 33 de la loi d’application de la loi fédérale sur l’assurance-maladie du 29 mai 1997 (LaLAMal – J 3 05), les subsides indûment touchés doivent être restitués en appliquant par analogie l’art.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t>A/1890/2024 - 14/25 - 10.</w:t>
      </w:r>
    </w:p>
    <w:p>
      <w:r>
        <w:t>10.1 En vertu de l’art. 25 al. 2, 1ère phr.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10.2 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10.3 Le délai de péremption absolu de cinq ans commence à courir à la date du versement effectif de la prestation, et non à la date à laquelle elle aurait dû être fournie (ATF 112 V 180 consid. 4a et les références). 10.3.1 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et les</w:t>
      </w:r>
    </w:p>
    <w:p>
      <w:r>
        <w:t>A/1890/2024 - 15/25 -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 arrêt du Tribunal fédéral 8C_754/2020 du 11 juin 2021 consid. 5.2). 10.3.2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w:t>
      </w:r>
    </w:p>
    <w:p>
      <w:r>
        <w:t>A/1890/2024 - 16/25 -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 139 V 6 consid. 4.1 et les références). 11.</w:t>
      </w:r>
    </w:p>
    <w:p>
      <w:r>
        <w:t>11.1 En vertu de l’art. 25 al. 2, 2ème phr.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w:t>
      </w:r>
    </w:p>
    <w:p>
      <w:r>
        <w:t>A/1890/2024 - 17/25 - d’un délai de prescription selon le droit pénal de produire les moyens permettant d’apporter la preuve d’un comportement punissable, singulièrement la réalisation des conditions objectives et subjectives de l’infraction (ATF 138 V 74 consid. 6.1 et 7 et les références). 11.2 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rPr>
          <w:b/>
        </w:rPr>
        <w:t>E. 12</w:t>
      </w:r>
    </w:p>
    <w:p>
      <w:r>
        <w:t>Dans le cas d’espèce, l’intimé a appliqué le délai de sept ans, correspondant au délai de prescription pénale des infractions énoncées aux art. 31 LPC (manquement à l’obligation de communiquer) et 148a (obtention illicite de prestations d’une assurance sociale ou de l’aide sociale).</w:t>
      </w:r>
    </w:p>
    <w:p>
      <w:r>
        <w:rPr>
          <w:b/>
        </w:rPr>
        <w:t>E. 12.1</w:t>
      </w:r>
    </w:p>
    <w:p>
      <w:r>
        <w:t>L’art. 148a CP, entré en vigueur le 1er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w:t>
      </w:r>
    </w:p>
    <w:p>
      <w:r>
        <w:t>A/1890/2024 - 18/25 -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w:t>
      </w:r>
    </w:p>
    <w:p>
      <w:r>
        <w:rPr>
          <w:b/>
        </w:rPr>
        <w:t>E. 12.2</w:t>
      </w:r>
    </w:p>
    <w:p>
      <w:r>
        <w:t>L’art. 31 LPC – qui est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(art. 31 al. 1 LPGA) (let. d). L’infraction visée à l’art. 31 al. 1 LPC consiste en l’obtention du paiement de prestations complémentaires par des indications trompeuses. Cette infraction est</w:t>
      </w:r>
    </w:p>
    <w:p>
      <w:r>
        <w:t>A/1890/2024 - 19/25 -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(ATAS/477/2019 du 28 mai 2019 consid. 11d).</w:t>
      </w:r>
    </w:p>
    <w:p>
      <w:r>
        <w:t>A/1890/2024 - 20/25 -</w:t>
      </w:r>
    </w:p>
    <w:p>
      <w:r>
        <w:rPr>
          <w:b/>
        </w:rPr>
        <w:t>E. 12.3</w:t>
      </w:r>
    </w:p>
    <w:p>
      <w:r>
        <w:t>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rPr>
          <w:b/>
        </w:rPr>
        <w:t>E. 13.1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13.2</w:t>
      </w:r>
    </w:p>
    <w:p>
      <w:r>
        <w:t>Dans le domaine des assurances sociales notamment, la procédure est régie par le principe inquisitoire, selon lequel il appartient au juge d’établir d’office l’ensemble des faits déterminants pour la solution du litige et d’administrer, le cas</w:t>
      </w:r>
    </w:p>
    <w:p>
      <w:r>
        <w:t>A/1890/2024 - 21/25 -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13.3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14.1</w:t>
      </w:r>
    </w:p>
    <w:p>
      <w:r>
        <w:t>En l’espèce, l’intimé réclame la restitution de CHF 75’534.- au titre des PC du 1er avril 2017 au 31 mars 2024 (CHF 44’463.-), des réductions de primes d’assurance-maladie du 1er avril 2017 au 31 décembre 2022 (CHF 25’667.70) et des frais de maladie et d’invalidité pour des factures échelonnées entre le 28 août 2017 et le 19 décembre 2022 (CHF 5’403.90). À teneur des extraits du registre foncier – produits pour la première fois avec le recours (pièces 9 et 10) –, la recourante et son mari ont acquis la parcelle n° 2______ le 11 février 1995 et la parcelle n° 1______ le 10 janvier 1997. En outre, il ressort en substance du rapport d’évaluation du 22 septembre 2023 et des explications données pour la première fois le 30 octobre 2023 par l’intéressée que la construction – dont le SPC connaît l’existence depuis 2003 – se situe, non pas sur la seule parcelle n° 1______, mais aussi sur la parcelle n° 2______, chacune d’entre elles se voyant attribuer une adresse distincte (Rua C______ n° 75 pour la parcelle n° 2______ ; Rua C______ n° 85 pour la parcelle n° 1______). Avant de</w:t>
      </w:r>
    </w:p>
    <w:p>
      <w:r>
        <w:t>A/1890/2024 - 22/25 - recevoir le rapport d’évaluation du 22 septembre 2023, l’intimé n’avait connaissance que de la construction (ou partie de celle-ci) sise sur la parcelle n° 1______, les estimations des 22 mars 2004 et 8 mai 2012 (pièces 4 et 22 intimé) ne concernant que cette parcelle et ses aménagements. Ce fait nouveau, découvert après coup, qui est de nature à modifier le calcul des prestations, justifie, avec effet ex tunc, la révision des décisions précédemment rendues d’octroi de PC. D’avis contraire, la recourante souligne avoir transmis, le 12 mars 2012, des documents relatifs aux deux parcelles (nos 2______ et 1______ ; pièce 17 intimé) en réponse au courrier du 20 février 2012 du SPC lui demandant la communication de la valeur vénale actuelle de son bien immobilier (pièce 16 intimé). Elle en déduit qu’elle n’a pas omis de fournir à l’autorité intimée les renseignements requis et qu’elle n’a pas cherché à tromper cette dernière en passant sous silence certains faits, de sorte qu’aucune infraction ne pourrait lui être reprochée. En l’absence d’infraction aux art. 31 al. 1 LPC et 148a CP, ce ne serait pas un délai de prescription de sept ans mais, en principe, de cinq ans qui s’appliquerait. Elle ajoute qu’une créance en restitution sur une période de cinq ans n’aurait de toute manière pas lieu d’être dans la mesure où l’intimé aurait commis une erreur à la réception des documents transmis le 12 mars 2012 – relatifs aux deux parcelles précitées –, erreur qu’il aurait entretenue en ne mettant pas en œuvre un contrôle périodique en 2016, lequel lui aurait permis, dans le cadre du délai relatif de prescription – qui était alors d’une année –, de réclamer la restitution des prestations versées indûment jusqu’en 2017 au plus tard.</w:t>
      </w:r>
    </w:p>
    <w:p>
      <w:r>
        <w:rPr>
          <w:b/>
        </w:rPr>
        <w:t>E. 14.2</w:t>
      </w:r>
    </w:p>
    <w:p>
      <w:r>
        <w:t>La chambre de céans ne saurait se rallier au raisonnement de la recourante dans la mesure où celui-ci occulte une partie des faits déterminants. On constate en effet que les justificatifs transmis le 12 mars 2012 constituent des attestations de l’administration fiscale portugaise qui concernent le mari de la recourante, qui n’est pas compris dans le calcul des PC. En outre, en tant que ces documents, non traduits, ne mentionnaient notamment pas le nom de l’intéressée, ceux-ci n’étaient pas propres à fournir des indices quant à un éventuel rapport de copropriété sur la parcelle n° 2______. De plus, ces documents transmis le 12 mars 2012 indiquaient la valeur fiscale des parcelles 2______ et 1______, établie en 2009. On relève ensuite qu’à réception de ces attestations fiscales, le SPC ne s’en était pas contenté mais qu’il avait au contraire relancé l’intéressée, par courrier du 2 mai 2012, pour qu’elle lui adresse « d’ici le 2 juin 2012, la valeur vénale actuelle de [son] bien immobilier (à faire estimer par un architecte, un notaire ou un agent immobilier) » (pièce 21 intimé). Sur quoi, le SPC s’était vu remettre, le 16 mai 2012, une estimation de la valeur vénale de la maison (EUR 47’730.-) inscrite sur la parcelle n° 1______, confortant ainsi l’autorité intimée dans sa représentation incomplète (depuis le départ) de l’ensemble de la fortune immobilière de l’intéressée.</w:t>
      </w:r>
    </w:p>
    <w:p>
      <w:r>
        <w:t>A/1890/2024 - 23/25 - Il sied donc de constater que, sur le plan objectif, les éléments constitutifs des infractions réprimées aux art. 148a CP et 31 al. 1 let. d LPC, toutes deux soumises au délai de prescription de sept ans, sont réalisés. En effet, en produisant, en avril 2004, l’estimation du 22 mars 2004 et, en mai 2012, l’estimation du 8 mai 2012, toutes deux relatives à la seule construction (ou partie de celle-ci) bâtie sur la parcelle n° 1______, l’intéressée a fourni des informations incomplètes au SPC. Elle a par ailleurs passé sous silence, année après année, les augmentations de la valeur de la construction érigée sur la parcelle n° 2______, manquant ainsi à son obligation de communiquer et confortant de la sorte l’intimé dans son erreur. Ce faisant, elle a adopté un comportement lui permettant d’obtenir des prestations indues. L’élément subjectif de ces infractions apparaît également réalisé. Compte tenu d’une part, des demandes de justificatifs de la valeur vénale de sa maison à D______, adressées notamment en novembre 2003 (pièce 1 intimé) et mai 2012 (pièce 21 intimé) et, d’autre part, des indications écrites qui lui étaient fournies année après année au mois de décembre, concernant son obligation de communiquer tout changement de circonstances, la recourante, qui n’ignorait pas que les estimations transmises en 2004 et 2012 ne concernaient qu’une partie de sa maison – celle bâtie sur la parcelle n° 1______ et correspondant à l’adresse Rua C______ – a néanmoins exprimé tacitement, année après année, jusqu’à l’envoi du rapport d’évaluation du 17 août 2023, que sa situation, respectivement les conditions pour le versement des prestations ne s’étaient pas modifiées. Par l’envoi d’informations incomplètes et le silence qualifié gardé au fil des ans à ce sujet, la recourante a accepté à tout le moins l’éventualité que l’intimé lui octroie des PC auxquelles elle n’avait pas droit, de sorte qu’elle a contrevenu aux art. 148a CP et 31 al. 1 let. a et d LPC par dol éventuel. Le délai de péremption de plus longue durée prévu par le droit pénal, soit en l’occurrence sept ans, est par conséquent applicable. C’est donc à bon droit que l’intimé a fait rétroagir ses décisions de restitution du 21 mars 2024 au 1er avril 2017, étant relevé que les prestations les plus anciennes visées (celles du mois d’avril 2017) ont été perçues sept ans avant le courrier du 2 avril 2023 auquel étaient annexées les décisions de restitution précitées.</w:t>
      </w:r>
    </w:p>
    <w:p>
      <w:r>
        <w:rPr>
          <w:b/>
        </w:rPr>
        <w:t>E. 14.3</w:t>
      </w:r>
    </w:p>
    <w:p>
      <w:r>
        <w:t>Reste à déterminer si l’intimé a réclamé la restitution des prestations indues à temps, la recourante lui reprochant de ne pas l’avoir fait dans un délai d’une année à compter de la révision périodique omise en 2016, soit en 2017. Comme indiqué plus haut, le délai de péremption relatif commence à courir dès le moment où l’administration a (ou aurait dû avoir) connaissance des faits fondant l’obligation de restituer (cf. ci-dessus : consid. 10.1 et 10.3.1). On rappellera également que lorsque la restitution est imputable à une faute de l’administration, on ne saurait considérer comme point de départ du délai le moment où la faute a</w:t>
      </w:r>
    </w:p>
    <w:p>
      <w:r>
        <w:t>A/1890/2024 - 24/25 - été commise, mais bien celui auquel l’administration aurait dû, dans un deuxième temps, reconnaître son erreur (ci-dessus : consid. 10.3.2). En l’occurrence, on ne saurait considérer que les attestations fiscales transmises le 12 mars 2012, mentionnant uniquement le nom du mari, auraient permis de nantir l’intimé des informations fondant l’obligation de restituer de la recourante. Au contraire, l’envoi subséquent, en mai 2012, d’une évaluation concernant, comme en 2004, la seule partie de la maison située sur la parcelle n° 1______ a conforté l’intimé dans sa représentation erronée d’une fortune immobilière réduite à cet objet. Par ailleurs, quoi qu’en dise la recourante dans ses deux dernières écritures, on ne voit pas en quoi un contrôle périodique qui aurait eu lieu en 2016 – plutôt qu’en 2023 comme en l’espèce – aurait dû permettre à l’intimé de reconnaître son erreur. En effet, pour ce faire, un rapport d’évaluation complet, à l’image de celui versé au dossier le 22 septembre 2023, aurait été nécessaire. Or, la production d’un tel document à une époque antérieure aurait été fonction du respect de l’obligation de communiquer de l’intéressée. En tant qu’elle a choisi de ne se conformer à cette obligation qu’en septembre 2023, elle ne saurait tirer aucun avantage de ne pas l’avoir fait plus tôt en excipant de la prétendue tardiveté des décisions de restitution adressées le 2 avril 2024. Force est de constater, au contraire, que moins de sept mois se sont écoulés entre la réception, le 22 septembre 2023, du rapport d’évaluation du 17 août 2023, et les décisions de restitution précitées. Il s’avère ainsi que les décisions de restitution adressées le 2 avril 2024 ne sont pas périmées.</w:t>
      </w:r>
    </w:p>
    <w:p>
      <w:r>
        <w:rPr>
          <w:b/>
        </w:rPr>
        <w:t>E. 15.1</w:t>
      </w:r>
    </w:p>
    <w:p>
      <w:r>
        <w:t>Compte tenu de ce qui précède, le recours doit être rejeté.</w:t>
      </w:r>
    </w:p>
    <w:p>
      <w:r>
        <w:rPr>
          <w:b/>
        </w:rPr>
        <w:t>E. 15.2</w:t>
      </w:r>
    </w:p>
    <w:p>
      <w:r>
        <w:t>Pour le surplus, la procédure est gratuite (art. 61 let. fbis LPGA a contrario).</w:t>
      </w:r>
    </w:p>
    <w:p>
      <w:r>
        <w:t>*****</w:t>
      </w:r>
    </w:p>
    <w:p>
      <w:r>
        <w:t>A/1890/2024 - 25/25 -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