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ATAS/36/2023 vom 25. Januar 2023</w:t>
      </w:r>
    </w:p>
    <w:p>
      <w:r>
        <w:t>GE Cour de justice, 2023-01-25, FR</w:t>
      </w:r>
    </w:p>
    <w:p>
      <w:r>
        <w:rPr>
          <w:b/>
        </w:rPr>
        <w:t xml:space="preserve">Quelle: </w:t>
      </w:r>
      <w:r>
        <w:t>https://mcp.opencaselaw.ch/entscheid/ge_gerichte_ATAS_36_2023</w:t>
      </w:r>
    </w:p>
    <w:p>
      <w:r>
        <w:t>FR: GE_GERICHTE ATAS/36/2023 du 25 janvier 2023</w:t>
      </w:r>
    </w:p>
    <w:p>
      <w:r>
        <w:t>IT: GE_GERICHTE ATAS/36/2023 del 25 gennaio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ancien art. 142 du Code civil [CC - RS 210]). Sa compétence pour juger du cas d’espèce est ainsi établie.</w:t>
      </w:r>
    </w:p>
    <w:p>
      <w:r>
        <w:rPr>
          <w:b/>
        </w:rPr>
        <w:t>E. 2</w:t>
      </w:r>
    </w:p>
    <w:p>
      <w:r>
        <w:t>Le litige, tel que circonscrit par les conclusions du demandeur précisées dans sa réplique du 18 novembre 2020 puis dans son écriture du 22 septembre 2022, porte sur le montant des prestations de retraite et sur le montant du complément de retraite à l’âge pivot, et sur les paramètres de calcul de ces prestations.</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w:t>
      </w:r>
    </w:p>
    <w:p>
      <w:r>
        <w:t>A/1147/2020 - 23/44 - La demande respecte la forme prévue à l'art. 89B de la loi sur la procédure administrative du 12 septembre 1985 (LPA - E 5 10). Le demandeur a dans un premier temps pris des conclusions constatatoires, dont la recevabilité suppose un intérêt actuel et immédiat à la constatation de rapports de droit litigieux.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(arrêt du Tribunal fédéral 9C_298/2010 du 28 février 2011 consid. 1.1). Le demandeur a cependant modifié sa demande en prenant des conclusions condamnatoires en cours de procédure, lesquelles sont recevables. On précisera que les conclusions intermédiaires de nature constatatoire formulées dans sa dernière écriture du 22 septembre 2022 n’ont pas de portée propre, mais uniquement un caractère préparatoire par rapport aux conclusions condamnatoires également prises dans cette écriture. S’agissant du montant du complément de pension, il relève à ce stade encore d’une conclusion constatatoire, dès lors que le droit à cette prestation n’est pas encore né. On peut s’interroger sur l’existence d’un intérêt actuel du demandeur à faire constater son montant, étant en particulier souligné qu’il n’allègue pas que l’incertitude quant à ce point l’entraverait dans certaines dispositions qu’il entend prendre. Cela étant, dans la mesure où la défenderesse ne conclut pas à l’irrecevabilité de la demande et où la société F______ s’est également prononcée sur ce point, il convient par économie de procédure de l’examiner dans la présente cause. Compte tenu de ce qui précède, la demande est recevable.</w:t>
      </w:r>
    </w:p>
    <w:p>
      <w:r>
        <w:rPr>
          <w:b/>
        </w:rPr>
        <w:t>E. 4</w:t>
      </w:r>
    </w:p>
    <w:p>
      <w:r>
        <w:t>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 (prévoyance surobligatoire ou plus étendue). Ces institutions sont dites enveloppantes (arrêt du Tribunal fédéral 9C_951/2015 du 29 septembre 2016 consid. 3.1). Le régime de la prévoyance professionnelle surobligatoire permet d’assurer la part de salaire dépassant la limite supérieure du salaire coordonné selon l’art. 8 al. 1 LPP, soit CHF 86'040.- selon la teneur de cette disposition au 1er janvier 2021 (Thomas GÄCHTER / Kaspar SANER in Jacques-André SCHNEIDER / Thomas GEISER / Thomas GÄCHTER [édit.], Commentaire LPP et LFLP, 2ème éd. 2021, n. 9 ad art. 49 LPP). La défenderesse applique un plan principal en primauté des prestations (art. 6 de la loi instituant la Caisse de prévoyance de l'État de Genève [LCPEG - B 5 22]). Elle fournit des prestations conformément à LCPEG et à ses règlements, mais au moins les prestations prévues par la loi fédérale (art. 5 LCPEG). Elle fixe les</w:t>
      </w:r>
    </w:p>
    <w:p>
      <w:r>
        <w:t>A/1147/2020 - 24/44 - dispositions générales, communes et particulières s'appliquant aux prestations, dans le cadre du financement fixé par l'Etat (art. 22 LCPEG). En l’espèce, il n’est pas contesté que les prestations litigieuses relèvent du régime surobligatoire de prévoyance, dès lors qu’elles portent sur les prestations d’assurance liées à la rémunération excédant le revenu coordonné.</w:t>
      </w:r>
    </w:p>
    <w:p>
      <w:r>
        <w:rPr>
          <w:b/>
        </w:rPr>
        <w:t>E. 4.1</w:t>
      </w:r>
    </w:p>
    <w:p>
      <w:r>
        <w:t>et les références).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 En matière d’interprétation de dispositions relevant de la prévoyance professionnelle, il y a en outre lieu de tenir compte de principes mathématiques et actuariels (ATF 132 V 278 consid. 4.3 ; arrêt du Tribunal fédéral des assurances B 99/06 du 4 mai 2007 consid. 2.2).</w:t>
      </w:r>
    </w:p>
    <w:p>
      <w:r>
        <w:rPr>
          <w:b/>
        </w:rPr>
        <w:t>E. 5</w:t>
      </w:r>
    </w:p>
    <w:p>
      <w:r>
        <w:t>Une institution de prévoyance enveloppante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9C_346/2017 du 14 novembre 2017 consid. 3.1). Aussi bien le financement que la mise en œuvre de la prévoyance professionnelle obligatoire et surobligatoire doivent être fixés d'avance dans les statuts et dans le règlement (cf. art. 50 al. 2 LPP) d'après des critères schématiques et objectifs. Ils doivent par ailleurs respecter les différents principes d'adéquation, de collectivité (ou de solidarité), d'égalité de traitement, de planification et d'assurance (art. 1 al. 3 LPP en corrélation avec les art. 1 à 1h de l'ordonnance du 18 avril 1984 sur la prévoyance professionnelle vieillesse, survivants et invalidité [OPP 2 – RS 831.441.1]) (arrêt du Tribunal fédéral 9C_951/2015 du 29 septembre 2016 consid. 3.2). L'art. 1c al. 1 OPP 2 prévoit que le principe de collectivité est respecté</w:t>
      </w:r>
    </w:p>
    <w:p>
      <w:r>
        <w:rPr>
          <w:b/>
        </w:rPr>
        <w:t>E. 5.1</w:t>
      </w:r>
    </w:p>
    <w:p>
      <w:r>
        <w:t>lorsqu'une institution de prévoyance ou une caisse de pension affiliée instituent une ou plusieurs collectivités d'assurés dans leur règlement. Il exige en outre que l'appartenance à un collectif soit déterminée sur la base de critères objectifs tels que le nombre d'années de service, la fonction exercée, la situation hiérarchique, l'âge ou le niveau salarial. Il s’ensuit que, conformément au principe de l’art. 1 al. 1 LPP, la prévoyance professionnelle au sens du 2ème pilier ne comprend que des mesures collectives. Par conséquent, des solutions de prévoyance taillées sur mesure sous forme d’assurances dites « à la carte » sont interdites. Le principe de la collectivité n’exige pas que tous les travailleurs forment un seul collectif. Plusieurs collectifs peuvent être constitués, à la condition toutefois que l’appartenance à ceux-ci soit déterminée selon des critères objectifs. L’art. 1c al. 1 OPP 2 énumère, de manière non exhaustive, comme critères objectifs notamment le nombre d’années de service, la fonction exercée, la position hiérarchique dans l’entreprise, l’âge ou le montant du salaire (Marc HÜRZELER in Basler Kommentar, Berufliche Vorsorge, 2021, n. 19 ad art. 1 LPP). Le Tribunal fédéral a retenu que des plans de prévoyance contenant des critères dont la réalisation dépend uniquement de la volonté de l’employeur (en l’espèce des éléments de rétribution que celui-ci peut décider seul d’allouer ou non) ne sont pas des critères objectifs (arrêt du Tribunal fédéral 2C_635/2018 du 4 janvier 2019 consid. 3.5).</w:t>
      </w:r>
    </w:p>
    <w:p>
      <w:r>
        <w:t>A/1147/2020 - 25/44 - Le principe de l'égalité de traitement ancré à l’art. 8 de la Constitution fédérale</w:t>
      </w:r>
    </w:p>
    <w:p>
      <w:r>
        <w:rPr>
          <w:b/>
        </w:rPr>
        <w:t>E. 5.2</w:t>
      </w:r>
    </w:p>
    <w:p>
      <w:r>
        <w:t>de la Confédération suisse du 18 avril 1999 (Cst. - RS 101) en relation avec les art. 1c et 1f OPP 2, consiste à traiter de façon identique les situations semblables et de façon différente les situations dissemblables. Il s'applique en matière de prévoyance professionnelle obligatoire et en matière de prévoyance professionnelle plus étendue (ATF 147 V 146 consid. 5.4). L’art. 1f OPP 2) dispose que le principe de l’égalité de traitement est respecté lorsque tous les assurés d’un même collectif sont soumis à des conditions réglementaires identiques dans le plan de prévoyance (arrêt du Tribunal fédéral 9C_951/2015 du 29 septembre 2016 consid. 3.2).</w:t>
      </w:r>
    </w:p>
    <w:p>
      <w:r>
        <w:rPr>
          <w:b/>
        </w:rPr>
        <w:t>E. 5.2.1</w:t>
      </w:r>
    </w:p>
    <w:p>
      <w:r>
        <w:t>La protection de l'égalité (art. 8 Cst.) et celle contre l'arbitraire (art. 9 Cst.) sont étroitement liées. Une norme est arbitraire lorsqu'elle ne repose pas sur des motifs sérieux ou si elle est dépourvue de sens et de but. Elle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142 V 316 consid. 6.1.1 ; arrêt du Tribunal fédéral 8C_495/2011 du 13 décembre 2011 consid. 3).</w:t>
      </w:r>
    </w:p>
    <w:p>
      <w:r>
        <w:rPr>
          <w:b/>
        </w:rPr>
        <w:t>E. 5.2.2</w:t>
      </w:r>
    </w:p>
    <w:p>
      <w:r>
        <w:t>A l’instar du principe de l’égalité de traitement au sens de l’art. 8 Cst., l’art. 1f OPP 2 n’exige pas, dans le domaine de la prévoyance professionnelle, une égalité de traitement absolue entre tous les bénéficiaires de l’institution de prévoyance. Sont toutefois interdites toutes les distinctions qui ne peuvent se fonder sur des critères et considérations objectifs et qui sont caractérisées par des considérations subjectives. Le principe de l’égalité de traitement est donc étroitement lié à celui de la collectivité. Il n’interdit ainsi pas de prévoir des plans de prévoyance différents pour différentes catégories de travailleurs. Les plans de prévoyance pour cadres sont également compatibles avec le principe de l’égalité de traitement, pour autant qu’ils ne concernent pas un seul membre de la direction et qu’ils soient formulés de manière ouverte de sorte que d’autres personnes puissent rejoindre le cercle des assurés (HÜRZELER, eod. loc., n. 27 ad art. 1 LPP).</w:t>
      </w:r>
    </w:p>
    <w:p>
      <w:r>
        <w:rPr>
          <w:b/>
        </w:rPr>
        <w:t>E. 5.2.3</w:t>
      </w:r>
    </w:p>
    <w:p>
      <w:r>
        <w:t>Le Tribunal fédéral a admis qu’un règlement prévoyant que l’indemnité versée à un enseignant assumant certaines responsabilités n’est pas soumise à cotisations au sens de la prévoyance professionnelle, alors que la rémunération d’un directeur d’école l’est intégralement, ne viole pas le principe d’égalité de traitement, dès lors que la règlementation différente est justifiée par des situations non semblables (arrêt du Tribunal fédéral des assurances B 34/06 du 6 août 2007 consid. 7.3.4). Il a en revanche considéré qu’un règlement traitant de manière différente sous l’angle du droit aux prestations les assurés invalides au sens de l’assurance-invalidité et ceux invalides au sens de la définition réglementaire plus</w:t>
      </w:r>
    </w:p>
    <w:p>
      <w:r>
        <w:t>A/1147/2020 - 26/44 - large opère une distinction sans raison objective, et que l’égalité de traitement commande que les assurés reconnus entièrement invalides par l'assurance- invalidité aient droit dans leur principe aux mêmes prestations que les assurés chez qui seule une invalidité au sens réglementaire a été reconnue (arrêt du Tribunal fédéral 9C_644/2014 du 13 juillet 2015 consid. 7.2).</w:t>
      </w:r>
    </w:p>
    <w:p>
      <w:r>
        <w:rPr>
          <w:b/>
        </w:rPr>
        <w:t>E. 5.2.4</w:t>
      </w:r>
    </w:p>
    <w:p>
      <w:r>
        <w:t>S’agissant en particulier des changements liés à l’application de nouvelles dispositions réglementaires, il n’y a pas de droit à une égalité de traitement absolue (Isabelle VETTER-SCHREIBER, Kommentar zur beruflichen Vorsorge, 3ème éd. 2013, n. 10 ad art. 50 LPP). A titre d’exemple, une disposition réglementaire qui prévoit un taux de réduction de la rente plus favorable pour les assurés, sans l’appliquer aux rentes déjà en cours, ne viole pas le principe d’égalité de traitement (SVR 1998 BVG n°11 consid. 5c). Le Tribunal fédéral a confirmé que la nouvelle réglementation cantonale en matière de droit à une pension de veuf n’était pas applicable à un assuré dont le droit à la pension était né sous l’ancien régime, bien que celui-ci fût incompatible avec le principe constitutionnel de l'égalité entre les sexes entré en force depuis (ATF 119 V 277 consid. 4). Aux termes de l’art. 1g OPP 2, le principe de planification est respecté lorsque</w:t>
      </w:r>
    </w:p>
    <w:p>
      <w:r>
        <w:rPr>
          <w:b/>
        </w:rPr>
        <w:t>E. 5.3</w:t>
      </w:r>
    </w:p>
    <w:p>
      <w:r>
        <w:t>l’institution de prévoyance fixe précisément dans son règlement les différentes prestations qu’elle octroie, leur mode de financement et les conditions auxquelles elles sont versées, les plans de prévoyance qu’elle propose ainsi que les différents collectifs d’assurés et les plans de prévoyance s’appliquant à ces collectifs. Le plan de prévoyance doit se fonder sur des paramètres déterminés sur la base de principes professionnellement reconnus. Le principe de planification exclut l’octroi de prestations non prévues par le règlement de prévoyance ou à des conditions différentes. Le règlement doit notamment fixer l’objectif de prévoyance et les conditions de financement pour les différentes prestations. L’assuré doit en effet pouvoir connaître à l’avance le niveau de ses futures prestations de prévoyance et le taux de cotisation pour les financer. Ce principe exclut toute improvisation, et notamment le versement de cotisations en fonction du résultat commercial de l’entreprise. Ce principe exige en outre que la prévoyance soit financée par des contributions régulières, sur une durée complète d’assurance, les contributions de rachat permettant de combler les lacunes en la matière. Le versement de contributions extraordinaires doit être prévu par les dispositions réglementaires (Jacques-André SCHNEIDER, Commentaire LPP et LFLP, nn. 108-109 ad art. 1 LPP).</w:t>
      </w:r>
    </w:p>
    <w:p>
      <w:r>
        <w:rPr>
          <w:b/>
        </w:rPr>
        <w:t>E. 6</w:t>
      </w:r>
    </w:p>
    <w:p>
      <w:r>
        <w:t>En matière de prévoyance étendue, les institutions de prévoyance peuvent choisir des plans d'assurance fondés sur la primauté des prestations, sur celle des cotisations ou encore une forme mixte. Pour ce qui est des cotisations, elles peuvent les échelonner en fonction de l'âge ou les fixer à un pourcentage unique en créant une solidarité entre assurés jeunes et plus âgés. Elles peuvent fonder leur assurance sur une équivalence collective ou individuelle. Sous réserve de l'art. 66</w:t>
      </w:r>
    </w:p>
    <w:p>
      <w:r>
        <w:t>A/1147/2020 - 27/44 - al. 1 LPP, qui prévoit qu'en matière de prévoyance obligatoire, la somme des cotisations de l'employeur doit être au moins égale à la somme des cotisations de tous les salariés, les institutions de prévoyance jouissent donc d'une grande indépendance dans le cadre de la législation sur la prévoyance professionnelle. Ainsi, rien dans la législation n'oblige une institution de prévoyance à financer les augmentations des traitements assurés au moyen de rappels de cotisation plutôt que par la cotisation de base. En ce qui concerne le financement des augmentations de traitement des membres de caisses de prévoyance avec primauté des prestations, on rencontre des méthodes très diverses. Certaines caisses exigent de l'assuré une cotisation unique (rappel de cotisation). D'autres intègrent les augmentations de salaire dans le système de financement de la caisse selon un plan, de sorte que leur financement intervient grâce aux cotisations annuelles ordinaires qui sont adaptées en conséquence. Le premier système est souvent mal aimé des salariés qui se voient privés temporairement de l'augmentation de salaire obtenue. Quant à la méthode prévoyant une augmentation des cotisations courantes, elle présente l'inconvénient que tous les assurés doivent payer un montant égal, indépendamment de l'évolution de leur salaire personnel. Il existe une méthode intermédiaire prévoyant un rappel de cotisation en cas de promotion, alors que les augmentations dans le cadre d'une carrière normale sont financées par la cotisation de base. Dans cette méthode, les augmentations tenant à des circonstances purement personnelles de l'assuré sont financées par lui-même. Celles qui résultent du déroulement ordinaire de la vie professionnelle (y compris les revalorisations de fonction) font l'objet d'une solidarité entre les assurés, qui trouve son expression dans un financement par la cotisation de base. Une telle méthode n'entraîne aucune inégalité de traitement qui ne soit pas justifiée par des différences objectives. En particulier, il n'est pas injuste que les assurés qui font des carrières rapides ou particulièrement réussies versent des cotisations en fin de compte plus élevées que ceux dont la vie professionnelle a été plus calme, même si les pensions sont finalement identiques. Il n'est au demeurant pas exclu que les premiers bénéficient également d'une revalorisation de fonction ou de toute autre augmentation financée par la cotisation de base. Par ailleurs, il est vrai que lorsque les augmentations de salaire sont financées en tout ou en partie par la cotisation de base, les assurés dont les traitements augmentent le moins participent au financement des améliorations salariales des autres. Un financement collectif des augmentations de salaire par la cotisation de base ne viole pas plus le principe de l'égalité de traitement qu'une solidarité entre assurés célibataires et mariés, jeunes et plus âgés (ATF 121 II 198 consid. 3 et 4a à 4c).</w:t>
      </w:r>
    </w:p>
    <w:p>
      <w:r>
        <w:rPr>
          <w:b/>
        </w:rPr>
        <w:t>E. 7</w:t>
      </w:r>
    </w:p>
    <w:p>
      <w:r>
        <w:t>La défenderesse est une institution de prévoyance de droit public, comme cela ressort de l'art. 2 al. 1 LCPEG. Ses dispositions statutaires doivent ainsi être interprétées selon les règles d'interprétation des règles légales (SVR 1997 BVG n. 79 p. 243 consid. 3c ; arrêt du Tribunal fédéral 9C_886/2018 du 4 juillet 2019 consid. 3.4).</w:t>
      </w:r>
    </w:p>
    <w:p>
      <w:r>
        <w:t>A/1147/2020 - 28/44 -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139 V 250 consid.</w:t>
      </w:r>
    </w:p>
    <w:p>
      <w:r>
        <w:rPr>
          <w:b/>
        </w:rPr>
        <w:t>E. 8</w:t>
      </w:r>
    </w:p>
    <w:p>
      <w:r>
        <w:t>Selon les principes généraux du droit,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 arrêt du Tribunal fédéral des assurances B 72/05 du 24 octobre 2006 consid. 4.1). Dans un litige en lien avec les prestations de retraite, notre Haute Cour a considéré que le règlement applicable était celui en vigueur lorsque l'âge de la retraite avait été atteint (arrêt du Tribunal fédéral 9C_808/2009 du 4 février 2010 consid. 5.3). En l’espèce, en application de ces principes, c’est le règlement général de la Caisse de prévoyance de l’Etat de Genève (RCPEG) dans sa version au moment</w:t>
      </w:r>
    </w:p>
    <w:p>
      <w:r>
        <w:t>A/1147/2020 - 29/44 - de la naissance des prestations de retraite qui est applicable, soit la version au 1er janvier 2020.</w:t>
      </w:r>
    </w:p>
    <w:p>
      <w:r>
        <w:rPr>
          <w:b/>
        </w:rPr>
        <w:t>E. 9</w:t>
      </w:r>
    </w:p>
    <w:p>
      <w:r>
        <w:t>Comme on l’a vu, la CPEG a été créée au 1er janvier 2014. Selon l’art. 65 al. 3 LCPEG, l'ensemble des membres salariés sont transférés dans le plan d’assurance de la CPEG au 1er janvier 2014 et sont, dès cette date, soumis au plan d’assurance de la CPEG tel qu’il est défini dans la LCPEG et les règlements de la CPEG. L’art. 87 RCPEG a trait aux règles de transition de l’ancien au nouveau plan.</w:t>
      </w:r>
    </w:p>
    <w:p>
      <w:r>
        <w:rPr>
          <w:b/>
        </w:rPr>
        <w:t>E. 9.1</w:t>
      </w:r>
    </w:p>
    <w:p>
      <w:r>
        <w:t>La durée d'assurance reconnue dans le nouveau plan à la date du changement de plan est obtenue par le rachat d’années au moyen de la prestation de sortie brute acquise au 31 décembre 2013 au sens de l’art. 35 des statuts de la CIA, respectivement de l’art. 34 des statuts de la CEH. La nouvelle date d’origine des droits ainsi déterminée ne peut être inférieure à la date à laquelle la personne a eu 20 ans (al. 1). Les différents éléments nécessaires au calcul de la PLP selon l'art. 17 de la loi fédérale sur le libre passage dans la prévoyance professionnelle vieillesse, survivants et invalidité du 17 décembre 1993 (LFLP – RS 831.42) au 31 décembre 2013 sont repris tels quels de la caisse dont le membre salarié est issu (al. 2). Selon l’art. 88 RCPEG, afin d’atténuer la baisse de prestations induite par</w:t>
      </w:r>
    </w:p>
    <w:p>
      <w:r>
        <w:rPr>
          <w:b/>
        </w:rPr>
        <w:t>E. 9.2</w:t>
      </w:r>
    </w:p>
    <w:p>
      <w:r>
        <w:t>l’application du nouveau plan de prévoyance dès le 1er janvier 2014, les assurés présents dans les effectifs de la CIA ou de la CEH au 31 décembre 2013 ont un droit à un complément de pension fixe qui ne naît qu’à la date de l’ouverture du droit aux prestations réglementaires de retraite de la Caisse, et ne donne pas droit à un complément de prestation de sortie réglementaire. En cas de versement de la prestation de retraite sous forme de capital, le montant de la pension fixe est réduit proportionnellement à la part prise en capital selon un calcul actuariel (al. 1). Le montant de la pension fixe est déterminé en fonction de la situation au 31 décembre 2013 sur la base de la différence entre la durée technique d’assurance calculée ci-après et la durée d’assurance rachetée par la règle de transition de l’ancien au nouveau plan selon l'article 87 (al. 2). La durée technique déterminante pour le calcul du complément de pension est obtenue en multipliant la durée d'assurance acquise dans l'ancien plan par le rapport entre l’ancien et le nouveau traitement cotisant, puis par le rapport entre l’ancien et le nouveau taux de rente acquis annuellement, puis par 92.5 %. Cette durée est en outre adaptée pour tenir partiellement compte des facteurs de réduction actuariels que le présent règlement applique aux anciens âges pivots. L'annexe technique du règlement précise les règles de calculs ainsi que le traitement des assurés ayant déjà dépassé l'âge pivot lors du changement du plan (al. 3). Le montant du complément de pension fixe est applicable au nouvel âge pivot. Il se détermine en multipliant l’éventuelle différence positive entre les deux durées d’assurance par le nouveau taux de pension et le nouveau traitement assuré sur la base des données en vigueur au 31 décembre 2013. Des modifications ultérieures des données des assurés ne donnent pas lieu à un nouveau calcul du montant. En cas de retraite avant ou après</w:t>
      </w:r>
    </w:p>
    <w:p>
      <w:r>
        <w:t>A/1147/2020 - 30/44 - le nouvel âge pivot, le montant du complément est adapté selon les facteurs de réduction ou de majoration de l’annexe technique du présent règlement. Le montant du complément de pension est pris en compte dans le plafonnement de la pension à 68 % du traitement assuré. Il est également pris en compte dans le calcul des prestations en cas d’invalidité ou de décès, ainsi que dans celui des possibilités de rachat (al. 4). L’art. 90 RCPEG dispose que pour les membres salariés au bénéfice d'une garantie de taux de pension de retraite en vertu de précédentes dispositions transitoires des statuts de la CIA, notamment les membres ayant commencé à cotiser avant l'âge de 24 ans, la durée d'assurance acquise déterminante pour le calcul du complément de pension fixe est calculée sur la base du taux garanti à l'âge de 58 ans. Pour les membres salariés ayant déjà 58 ans révolus au 31 décembre 2013, le taux déterminant à l'âge atteint au 31 décembre 2013 sert de base au calcul. Selon le point 4 de l’annexe technique du RCPEG, portant sur le complément</w:t>
      </w:r>
    </w:p>
    <w:p>
      <w:r>
        <w:rPr>
          <w:b/>
        </w:rPr>
        <w:t>E. 9.3</w:t>
      </w:r>
    </w:p>
    <w:p>
      <w:r>
        <w:t>de pension fixe à la retraite, les traitements cotisant et assuré sont recalculés selon la nouvelle déduction de coordination. La durée d’assurance est aussi recalculée afin de tenir compte des modifications de traitement assuré, de taux de pension et d’âge pivot (le cas échéant). Trois corrections sont entreprises sur la durée d’assurance acquise : une correction de taux de pension annuellement acquis ; une correction de traitement assuré ; une correction de facteur pour anticipation ou ajournement de la rente en fonction de l’âge pivot. La correction de l’âge pivot, noté P dans le tableau ci-dessous, se définit comme suit, avec x représentant l’âge de l’assuré. Les assurés ayant déjà dépassé l’âge pivot ne se voient pas appliquer la correction relative à l’âge pivot. CEH Formule du facteur correctif âge pivot P 61 1 / (1 – max (61-max (x ; 60) ; 0) x 3%) P 64 1 / (1 – max (64-max (x ; 63) ; 0) x 3% - max (63-max (x ; 61) ; 0) 5% -max (61-max (x ; 60) ; 0) x 6%)</w:t>
      </w:r>
    </w:p>
    <w:p>
      <w:r>
        <w:t>CIA Formule du facteur correctif âge pivot P 61 1 / (1 + max (62-max (x ; 61) ; 0) x 3% P 64 1 / (1 – max (64-max (x ; 63) ; 0) x 3% - max (63-max (x ; 62) ; 0) 5%</w:t>
      </w:r>
    </w:p>
    <w:p>
      <w:r>
        <w:rPr>
          <w:b/>
        </w:rPr>
        <w:t>E. 10</w:t>
      </w:r>
    </w:p>
    <w:p>
      <w:r>
        <w:t>L’art. 5 des statuts de la CIA dans leur édition au 1er janvier 2002 (ci-après les statuts) limitait le traitement déterminant à 100 % du traitement maximum de la classe 30 de l'échelle des traitements des membres du personnel de l’Etat, compte tenu du taux d'activité (al. 4). En cas de multiactivité, le traitement déterminant correspondait à la somme des traitements déterminants annoncés pour chaque activité. Il ne pouvait excéder le 100 % de l'activité la mieux rémunérée (al. 5). Le taux d'activité pris en compte par la CIA était au maximum de 100 % (al. 6). Le taux d'activité était annoncé par l’employeur. En cas de multiactivité auprès d'un même employeur, ce dernier communiquait un traitement déterminant selon les règles fixées à l'al. 5 (al. 7).</w:t>
      </w:r>
    </w:p>
    <w:p>
      <w:r>
        <w:t>A/1147/2020 - 31/44 - On peut ici souligner que le Tribunal fédéral a récemment jugé que dans le cas où un travailleur exerce une activité principale et une activité accessoire auprès du même employeur, l’art. 1j al. 1 let. c OPP 2 – aux termes duquel les salariés exerçant une activité accessoire, s’ils sont déjà assujettis à l’assurance obligatoire pour une activité lucrative exercée à titre principal ou s’ils exercent une activité lucrative indépendante à titre principal, ne sont pas soumis à l’assurance obligatoire dans l’activité accessoire – ne s’applique pas, de sorte que les deux revenus doivent être assurés (ATF 148 V 234 consid. 5.4). Cela étant, dans le cas ayant donné lieu à cet arrêt, il n’apparaît pas que l’institution de prévoyance avait limité dans son règlement le taux d’activité assuré, contrairement à ce qui était prévu dans les statuts de la CIA. Or, dans le cadre de la prévoyance professionnelle surobligatoire, le plafonnement à 100 % de l’activité la mieux rémunérée n’apparaît pas contraire au droit – ce que le demandeur n’allègue d’ailleurs pas. Il n’y a ainsi pas lieu de revenir sur la limitation de la couverture de prévoyance à l’activité principale pendant les rapports d’assurance auprès de la CIA.</w:t>
      </w:r>
    </w:p>
    <w:p>
      <w:r>
        <w:rPr>
          <w:b/>
        </w:rPr>
        <w:t>E. 11</w:t>
      </w:r>
    </w:p>
    <w:p>
      <w:r>
        <w:t>En ce qui concerne le montant du complément de pension, la chambre de céans relève ce qui suit. La société F______ a confirmé le montant du complément de pension de</w:t>
      </w:r>
    </w:p>
    <w:p>
      <w:r>
        <w:rPr>
          <w:b/>
        </w:rPr>
        <w:t>E. 11.1</w:t>
      </w:r>
    </w:p>
    <w:p>
      <w:r>
        <w:t>CHF 150.- dans son rapport du 22 août 2022, calculé sur la base d’un TMA de 95.24 % dans l’activité principale, qui résultait de la répartition au prorata du TMA dans les deux activités du demandeur. Selon le calcul des experts, ce complément se serait élevé à CHF 489.- s’il avait été tenu compte de la seule activité principale avec un TMA à 100 %. Selon l’art. 88 al. 4 RCPEG, le complément de pension fixe est déterminé selon les données au 31 décembre 2013 et exclut un nouveau calcul lié à des modifications ultérieures des données des assurés. Or, à cette date, le demandeur était uniquement assuré pour son activité principale exercée à un taux de 100 %. Ainsi, en tenant compte de la répartition au prorata du TMA dans les deux activités, la défenderesse ne se fonde pas sur la situation au 31 décembre 2013, mais sur celle qui prévalait à la suite du basculement au 1er janvier 2014, ce qui est contraire à la lettre du règlement. De plus, dans la mesure où l’activité accessoire du demandeur n’était pas assurée par la CIA, elle ne saurait avoir d’effet sur le calcul du complément de pension. Opérer une réduction du TMA dans l’activité principale en raison de sa répartition au prorata dans les deux activités revient cependant précisément à tenir compte, de manière indirecte, de cette activité accessoire. Ce procédé pénalise le demandeur qui, s’il avait uniquement travaillé pour la HES, aurait droit à un complément plus de trois fois plus élevé. Cela constitue manifestement une inégalité de traitement par rapport aux assurés ne travaillant pas à plus de 100 %, qu’aucun élément objectif ne justifie. En effet, dès lors que le demandeur n’était assuré que pour son activité</w:t>
      </w:r>
    </w:p>
    <w:p>
      <w:r>
        <w:t>A/1147/2020 - 32/44 - principale, son complément de pension doit être calculé comme celui d’un assuré qui n’aurait pas travaillé à plus de 100 % l’aurait été. Partant, il convient de constater que le demandeur aura droit à l’âge pivot à un complément de pension fixe calculé en fonction de sa seule activité principale, sur la base d’un TMA de 100 % jusqu’au 31 décembre 2013, soit CHF 489.- conformément aux calculs des experts. Il convient encore d’examiner le grief d’inégalité de traitement par rapport à</w:t>
      </w:r>
    </w:p>
    <w:p>
      <w:r>
        <w:rPr>
          <w:b/>
        </w:rPr>
        <w:t>E. 11.2</w:t>
      </w:r>
    </w:p>
    <w:p>
      <w:r>
        <w:t>la situation de M. C______, élevé principalement en lien avec le montant du complément de pension. La société F______ a détaillé les calculs concernant ce dernier, en relevant que les mesures transitoires prévues à l’art. 90 RCPEG lui donnaient droit à un montant supplémentaire de complément de pension de CHF 358.- par mois. La différence du complément de pension entre le demandeur et M. C______ repose ainsi sur le fait que le second a acquis des années d’assurance avant 24 ans, ce qui n’est pas le cas du demandeur. Leurs situations ne sont dès lors pas similaires, de sorte qu’on ne saurait retenir d’inégalité de traitement. Le critère des années d’assurance acquises avant 24 ans prévu par les mesures transitoires ne paraît de plus nullement arbitraire, et il ne s’agit pas là d’un paramètre insolite dans la prévoyance professionnelle. De plus, comme on l’a vu, en matière de changement de droit, il n’y a pas de droit à une égalité absolue entre les assurés. Enfin, le fait qu’une différence relativement faible dans la durée d’assurance avant 24 ans entraîne une augmentation assez significative du complément de pension ne suffit pas à conclure au caractère arbitraire des règles contenues dans les mesures transitoires qui sous-tendent son calcul. En effet, le fait qu’une autre solution soit envisageable, voire préférable, ne suffit pas à conclure à l’arbitraire (ATF 138 I 305 consid. 4.3 ; arrêt du Tribunal fédéral 8C_460/2019 du 16 décembre 2019 consid. 3 et 4.3). Partant, le grief d’inégalité de traitement par rapport à M. C______ doit être écarté. Le demandeur a qualifié les mesures transitoires de la défenderesse d’« usine à gaz ». On peut certes regretter la complexité des calculs des prestations de prévoyance professionnelle, qui ne sont pas à la portée de la plupart des assurés. Quoi qu’il en soit, cette observation est sans incidence sur le présent litige – dans lequel le demandeur a du reste eu la possibilité d’obtenir les explications requises des experts.</w:t>
      </w:r>
    </w:p>
    <w:p>
      <w:r>
        <w:rPr>
          <w:b/>
        </w:rPr>
        <w:t>E. 12</w:t>
      </w:r>
    </w:p>
    <w:p>
      <w:r>
        <w:t>En règle générale, le salaire assuré dans le cadre de la prévoyance plus</w:t>
      </w:r>
    </w:p>
    <w:p>
      <w:r>
        <w:rPr>
          <w:b/>
        </w:rPr>
        <w:t>E. 12.1</w:t>
      </w:r>
    </w:p>
    <w:p>
      <w:r>
        <w:t>étendue est défini par les dispositions réglementaires de l'institution de prévoyance, le plus souvent par renvoi au salaire déterminant au sens de l'art. 5 al. 2 de la loi fédérale sur l'assurance-vieillesse et survivants du 20 décembre 1946</w:t>
      </w:r>
    </w:p>
    <w:p>
      <w:r>
        <w:t>A/1147/2020 - 33/44 - (LAVS - RS 831.10). Si une institution de prévoyance entend déroger à cette notion et en exclure certains éléments de rémunération, elle doit le faire par la voie réglementaire. Le règlement de prévoyance doit clairement distinguer les éléments de salaire qui sont assurés de ceux qui ne le sont pas. Une dérogation à la notion de salaire déterminant au sens de la LAVS doit ressortir de manière suffisamment claire de ce règlement (ATF 140 V 145 consid. 3.2). Aux termes de l’art. 15 LCPEG, le traitement déterminant est égal au traitement légal annuel défini dans l'échelle des traitements des membres du personnel de l'Etat, compte tenu du taux d'activité (al. 1). En cas de multiactivité du membre salarié, le traitement déterminant correspond à la somme des traitements déterminants annoncés pour chaque activité (al. 2). Le taux d'activité est annoncé par l'employeur (al. 3). La Caisse définit, par analogie, le traitement déterminant pour le personnel de l'institution externe appliquant une échelle des traitements différente de celle de l'Etat (al. 4). En vertu de l’art. 16 LCPEG, le traitement cotisant sert de base pour le calcul des cotisations des membres salariés et de l'employeur (al. 1). Le traitement cotisant correspond au traitement déterminant, moins une déduction de coordination avec l'assurance fédérale vieillesse et survivants (AVS) (al. 2). La détermination du traitement cotisant se fait sur une base annuelle (al. 3). En vertu de l’art. 17 LPCEG, la déduction de coordination est égale à la moitié de la rente AVS maximale complète à laquelle s'ajoutent les 8.5 % du traitement déterminant ramené à un taux d’activité de 100 %. Toutefois, la déduction de coordination ne dépasse pas les 87.5 % de la rente AVS maximale complète (al. 1). La déduction de coordination est multipliée par le taux d'activité effectif (al. 2). Le membre salarié demeure au bénéfice de son précédent traitement cotisant aussi longtemps qu’une augmentation de la déduction de coordination n’est pas compensée par une hausse du traitement déterminant; la comparaison s’effectue sur la base d’un taux d’activité constant (al. 3). Selon les art. 132 et 134 du règlement interne sur le personnel de la Haute</w:t>
      </w:r>
    </w:p>
    <w:p>
      <w:r>
        <w:rPr>
          <w:b/>
        </w:rPr>
        <w:t>E. 12.2</w:t>
      </w:r>
    </w:p>
    <w:p>
      <w:r>
        <w:t>école spécialisée de Suisse occidentale - Genève du 6 février 2017, le traitement des professeurs HES ordinaires est colloqué en classe 27. Les responsables HES perçoivent le traitement perçu jusqu'à la désignation au poste de responsable HES et un complément salarial correspondant à 6 % de la classe 27, annuité 22. La chambre de céans a considéré que le complément salarial lié à la fonction de responsable HES est soumis aux cotisations de la prévoyance professionnelle (ATAS/297/2020 du 20 avril 2020 consid. 14d).</w:t>
      </w:r>
    </w:p>
    <w:p>
      <w:r>
        <w:rPr>
          <w:b/>
        </w:rPr>
        <w:t>E. 13</w:t>
      </w:r>
    </w:p>
    <w:p>
      <w:r>
        <w:t>Conformément à l’art. 19 LCPEG, le traitement assuré, la durée d'assurance</w:t>
      </w:r>
    </w:p>
    <w:p>
      <w:r>
        <w:rPr>
          <w:b/>
        </w:rPr>
        <w:t>E. 13.1</w:t>
      </w:r>
    </w:p>
    <w:p>
      <w:r>
        <w:t>et le taux moyen d'activité déterminent le calcul des prestations de sortie, de vieillesse, de survivants et d'invalidité de la Caisse (al. 1). Leur définition et les modalités de leur mise en œuvre sont fixées par règlement de la Caisse (al. 2).</w:t>
      </w:r>
    </w:p>
    <w:p>
      <w:r>
        <w:t>A/1147/2020 - 34/44 - En cas de modification du traitement déterminant, le traitement cotisant et le traitement assuré sont modifiés en conséquence, selon les modalités fixées par la Caisse (art. 20 LCPEG). L’art. 8 RCPEG dispose que le traitement assuré sert au calcul des</w:t>
      </w:r>
    </w:p>
    <w:p>
      <w:r>
        <w:rPr>
          <w:b/>
        </w:rPr>
        <w:t>E. 13.2</w:t>
      </w:r>
    </w:p>
    <w:p>
      <w:r>
        <w:t>prestations de la Caisse (al. 1). Lors de l’ouverture du droit à la pension de retraite, le traitement assuré est égal au dernier traitement cotisant à 100 %, multiplié par le taux moyen d’activité (al. 2). Lors de la détermination de la prestation de sortie, le traitement assuré est égal au dernier traitement cotisant à 100 %, multiplié par le taux moyen d'activité (al. 4). Le taux moyen d'activité est égal à la moyenne arithmétique de tous les taux d'activité effectifs et maintenus mensuels du membre salarié depuis la date d'origine des droits (al. 5). Le taux moyen d’activité est calculé depuis la date d'origine des droits jusqu'à la fin de l'assurance, mais au plus tard jusqu'à la fin de l'obligation de cotiser ou l’atteinte de la pension de retraite maximale plafonnée. En cas d'invalidité ou de retraite partielle, le taux moyen d'activité est adapté en conséquence (al. 6). La Caisse définit les modalités de calcul du taux moyen d'activité dans certains cas particuliers, notamment lorsqu'une activité est exercée auprès de plusieurs employeurs affiliés à la Caisse (al. 7). Le RCPEG prévoit à son art. 7 que la durée d'assurance acquise est</w:t>
      </w:r>
    </w:p>
    <w:p>
      <w:r>
        <w:rPr>
          <w:b/>
        </w:rPr>
        <w:t>E. 13.3</w:t>
      </w:r>
    </w:p>
    <w:p>
      <w:r>
        <w:t>constituée des années et mois cotisés séparant l'affiliation d’un membre salarié à l’assurance pour la retraite, et la survenance d'un cas d’assurance ou la fin des rapports de service (al. 1). La durée d'assurance acquise est modifiée par l'apport de prestations d'entrée (let. a) ; le transfert de la prestation de sortie en cas de divorce (let. b) ; le rachat volontaire d'assurance (let. c) ; le versement anticipé destiné à l'accession à la propriété et son remboursement (let. d) ; la renonciation par le membre salarié au paiement de la cotisation de rappel en cas d'augmentation du traitement (let. e) ; le rachat d’assurance consécutif à la baisse du traitement assuré (let. f) (al. 3). Aux termes de l’art. 17 RCPEG, le montant de la pension de retraite est égal</w:t>
      </w:r>
    </w:p>
    <w:p>
      <w:r>
        <w:rPr>
          <w:b/>
        </w:rPr>
        <w:t>E. 13.4</w:t>
      </w:r>
    </w:p>
    <w:p>
      <w:r>
        <w:t>à 60 % du traitement assuré, divisé par 40 et ensuite multiplié par la durée d'assurance acquise (al. 3). Si le versement de la pension débute avant ou après l’âge pivot de la retraite, la pension est réduite ou majorée par un facteur actuariel défini dans l’annexe technique. La pension de retraite est en tous les cas plafonnée à 68 % du traitement assuré (al. 4).</w:t>
      </w:r>
    </w:p>
    <w:p>
      <w:r>
        <w:rPr>
          <w:b/>
        </w:rPr>
        <w:t>E. 14</w:t>
      </w:r>
    </w:p>
    <w:p>
      <w:r>
        <w:t>L’art. 9 LFLP dispose que l’institution de prévoyance doit permettre à l’assuré qui entre de maintenir et d’augmenter sa prévoyance ; elle doit lui créditer les prestations de sortie qu’il a apportées (al. 1). Si l’institution de prévoyance fixe ses prestations dans un plan de prestations, elle doit donner à l’assuré la possibilité de racheter toutes les prestations réglementaires. L’art. 79b LPP est réservé. Conformément à l’art. 33 al. 3 LCPEG, ayant trait aux prestations d’entrée, le membre salarié peut procéder au rachat d'années d'assurance et du taux moyen</w:t>
      </w:r>
    </w:p>
    <w:p>
      <w:r>
        <w:t>A/1147/2020 - 35/44 - d'activité par l'apport de la prestation d'entrée. Celle-ci n'excède pas le plus élevé des montants de la prestation de sortie réglementaire ou minimale selon l’art.</w:t>
      </w:r>
    </w:p>
    <w:p>
      <w:r>
        <w:rPr>
          <w:b/>
        </w:rPr>
        <w:t>E. 14.1</w:t>
      </w:r>
    </w:p>
    <w:p>
      <w:r>
        <w:t>sens de l'art. 9 al. 2 LFLP ou rachat au sens de l'art. 1b OPP 2 - doit se fonder sur les mêmes principes professionnellement reconnus que la détermination du plan de prévoyance. Tant le financement que la mise en œuvre des possibilités de rachat doivent par conséquent être fixés à l'avance dans les statuts ou le règlement, selon des critères schématiques et objectifs, et respecter les principes d'adéquation, de collectivité (solidarité), d'égalité de traitement, de planification ainsi que d'assurance (arrêt du Tribunal fédéral 9C_792/2019 du 27 novembre 2020 consid. 7.1). Selon la doctrine, le changement de caisse de pension sans changement</w:t>
      </w:r>
    </w:p>
    <w:p>
      <w:r>
        <w:rPr>
          <w:b/>
        </w:rPr>
        <w:t>E. 14.2</w:t>
      </w:r>
    </w:p>
    <w:p>
      <w:r>
        <w:t>d’employeur relève d’un cas de libre passage (Claudia CADERAS in Basler Kommentar, 2021, n. 14 ad art. 21 LFLP, Commentaire bâlois, Thomas GEISER / Christoph SENTI in Commentaire LPP et LFLP, n. 7 ad art. 21 LFLP). En revanche, dans le cas d’un assuré s’étant vu refuser le droit de procéder à un rachat après avoir atteint l’âge de 65 ans, alors qu’il exerçait encore une fonction de juge, le Tribunal fédéral a considéré que l’art. 9 al. 2 LFLP s’appliquait en cas de libre passage tel que défini à l’art. 2 al. 1 LFLP, soit le fait de quitter l’institution de prévoyance. L’assuré ne se trouvait pas dans une telle situation, de sorte qu’il ne pouvait se prévaloir du droit au rachat prévu par cette disposition (arrêt du Tribunal fédéral 9C_813/2014 du 26 mai 2015 consid. 2.3.2). L’art. 32 LCPEG dispose que les membres salariés peuvent effectuer, à leur</w:t>
      </w:r>
    </w:p>
    <w:p>
      <w:r>
        <w:rPr>
          <w:b/>
        </w:rPr>
        <w:t>E. 14.3</w:t>
      </w:r>
    </w:p>
    <w:p>
      <w:r>
        <w:t>charge, un rappel de cotisations total ou partiel en cas d’augmentation du traitement déterminant résultant d’un changement de classe ou d'une réévaluation de la fonction (al. 1). En l’absence de versement d’un rappel ou en cas d’un versement de rappel partiel, la durée d’assurance acquise est réduite proportionnellement sur la base d’un calcul actuariel (al. 2). N’est pas soumise à rappel de cotisations l’augmentation du traitement déterminant résultant de l’indexation au coût de la vie ou de l’octroi d’une annuité à l’intérieur d’une classe de traitement (al. 3). Le montant du rappel de cotisations possible se calcule sur l’augmentation de traitement soumise à rappel en tenant compte du taux de prestation d’entrée, de la date d’origine des droits et du taux moyen d’activité valables au moment de l’augmentation (al. 4). Les autres modalités des rappels de cotisations sont fixées par la Caisse (al. 5). L’art. 34 LCPEG prévoit que la Caisse détermine les barèmes et les modalités de calcul applicables lors de l’entrée et, par analogie, lors de rachats ou de remboursements (al. 1). Le rachat d'années d'assurance fait remonter la date d'origine des droits jusqu'à l'âge de 20 ans révolus au plus (al. 2). Le rachat du taux moyen d'activité relève celui-ci, au plus jusqu'au taux d'activité effectif à la date de la demande (al. 3).</w:t>
      </w:r>
    </w:p>
    <w:p>
      <w:r>
        <w:t>A/1147/2020 - 36/44 - Selon l’art. 9 RCPEG, la Caisse informe le membre salarié des possibilités de rappel (al. 1). En l’absence de notification du membre salarié par écrit à la Caisse de sa volonté d’effectuer un rappel dans les 60 jours à compter de l’information de la Caisse, le membre salarié est réputé renoncer au rappel (al. 2). Les modalités de paiement du rappel sont déterminées en application de l’art. 52 du règlement. La limite d’âge prévue à l’art. 52 al. 1 let. b n’est pas applicable (al. 3). Les soldes dus en cas d’invalidité et de décès sont régis par l’art. 53 du présent règlement (al. 4). L’interruption de l’amortissement du rappel est régie par l’art. 54 du présent règlement (al. 5) L’art. 54bis RCPEG prévoit qu’un rachat d’années d’assurance est possible lorsque les possibilités de rachat de taux moyens d’activité sont épuisées. La défenderesse a établi une directive technique sur le calcul du rappel de</w:t>
      </w:r>
    </w:p>
    <w:p>
      <w:r>
        <w:rPr>
          <w:b/>
        </w:rPr>
        <w:t>E. 14.4</w:t>
      </w:r>
    </w:p>
    <w:p>
      <w:r>
        <w:t>cotisation et réduction de la durée d'assurance en cas de renonciation le 14 avril 2015, selon laquelle le plan CPEG distingue deux systèmes de calcul de rappels : le premier pour les personnes évoluant dans l'échelle des traitements de l'Etat (art. 32 LCPEG), pour qui le rappel égale le rachat du traitement assuré sur la base de la situation avant et après promotion (hors indexation), le second étant le système dit « hors échelle » selon l’art. 5 RCPEG, concernant les salaires sans référence à l'échelle des traitements de l’Etat, dans lequel le Taugm égale le taux d'augmentation autorisé (différent pour chaque employeur et fixé dans la convention d'affiliation), en pourcentage. Dans ce système, pour toute augmentation de salaire de plus de Taugm% (hors indexation), le rappel égale le rachat du traitement assuré sur la base de la situation avant et après augmentation. Cette directive établit les formules suivantes : Rappel (échelle GE) = (TCi(100) – TCi+1(100) indexé x durée d’assurance x Taux PLP x TMA</w:t>
      </w:r>
    </w:p>
    <w:p>
      <w:r>
        <w:t>Rappel (hors échelle) = TCi(100) – ((1+Taugm%) * TCi-1(100) indexé)) x durée d’assurance x Taux PLP x TMA</w:t>
      </w:r>
    </w:p>
    <w:p>
      <w:r>
        <w:t>Taux PLP = selon barème d’entrée (Tableau I de l’annexe technique) TCi(100) = traitement cotisant à 100% après promotion TCi-1(100) = traitement cotisant à 100% avant promotion i = mois de référence = mois de la promotion ou de l’augmentation constatée</w:t>
      </w:r>
    </w:p>
    <w:p>
      <w:r>
        <w:t>Calcul de retraitement en cas de renonciation :</w:t>
      </w:r>
    </w:p>
    <w:p>
      <w:r>
        <w:t>En cas de refus total, la durée d’assurance sera réduite selon les calculs suivants :</w:t>
      </w:r>
    </w:p>
    <w:p>
      <w:r>
        <w:t>Echelle GE n’ = n * TCi-1(100)indexé TCi(100)</w:t>
      </w:r>
    </w:p>
    <w:p>
      <w:r>
        <w:t>Hors Echelle n’ = n * (1 + Taugm%) * TCi-1(100)indexé TCi(100) n : durée avant renonciation n’ : durée réduite</w:t>
      </w:r>
    </w:p>
    <w:p>
      <w:r>
        <w:t>En cas de renonciation partielle, la réduction sera adaptée au nombre de mois effectivement financés par l’assuré.</w:t>
      </w:r>
    </w:p>
    <w:p>
      <w:r>
        <w:t>15. L’art. 52a al. 1 LPP prévoit que l’institution de prévoyance désigne pour la vérification un organe de révision et un expert en matière de prévoyance professionnelle.</w:t>
      </w:r>
    </w:p>
    <w:p>
      <w:r>
        <w:t>A/1147/2020 - 37/44 - Les tâches de l’expert sont énumérées à l’art. 52c al. 1 LPP, qui dispose que 15.1 celui-ci examine périodiquement si l’institution de prévoyance offre la garantie qu’elle peut remplir ses engagements (let. a) ; si les dispositions réglementaires de nature actuarielle et relatives aux prestations et au financement sont conformes aux dispositions légales (let. b) (al. 1). L’art. 40 OPP 2 fixe les exigences en matière d’indépendance de l’expert, qui exclut notamment l’appartenance à l’organe suprême ou à l’organe de gestion de l’institution de prévoyance, d’autres fonctions décisionnelles au sein de l’institution ou des rapports de travail avec elle ; une participation directe ou indirecte à l’entreprise fondatrice ou à l’organe de gestion de l’institution de prévoyance ; une relation familière ou économique étroite avec l’un des membres de l’organe suprême, l’un des membres de l’organe de gestion ou une autre personne ayant des fonctions décisionnelles ; la collaboration à la gestion ; l’acceptation d’un mandat qui entraîne une dépendance économique à long terme ; la conclusion d’un contrat à des conditions non conformes aux règles du marché ou d’un contrat par lequel l’expert acquiert un intérêt au résultat du contrôle ; l’existence d’un lien de subordination avec l’employeur, pour les institutions de prévoyance d’entreprise (al. 2 let. a à g). L'expert agréé doit ainsi, à l'instar de l'organe de contrôle de l’institution de 15.2 prévoyance, être rigoureusement indépendant de l'institution de prévoyance elle- même. En particulier, il ne saurait être son employé. Cette sévérité se justifie par le fait que l’institution de prévoyance constitue l'objet même de l'expertise. En outre, certaines démarches que l'expert peut être légalement tenu d'effectuer seront vraisemblablement difficilement acceptées par l’institution de prévoyance, notamment lorsqu'il s'agit d'avertir immédiatement l'autorité de surveillance que la situation exige une intervention rapide, par exemple parce qu'elle n'offre plus la garantie de remplir ses engagements (arrêt du Tribunal fédéral 2A.508/2003 du 12 novembre 2004 consid. 5.1). L’activité de l’expert consiste non seulement en l’examen périodique, mais 15.3 également en un conseil continu de l’organe suprême de l’institution de prévoyance. En particulier, les rapports de l’expert sont le fondement de décisions en tout genre, puisque l’organe suprême doit obtenir les informations nécessaires à l’exécution de ses tâches de gestion (Patrick SUTTER, Commentaire LPP et LFLP, n. 8 ad art. 53e LPP, cf. également sur l’ensemble des tâches de l’expert agréé ATF 141 V 71 consid. 6.1). 16. 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w:t>
      </w:r>
    </w:p>
    <w:p>
      <w:r>
        <w:t>A/1147/2020 - 38/44 - pertinence des déductions de l'expert, on ne peut pas exclure, selon les cas, une interprétation divergente des conclusions de ce dernier par le juge ou, au besoin, une instruction complémentaire sous la forme d'une nouvelle expertise médicale. En d'autres termes, même s'il apprécie librement les preuves, le juge ne saurait toutefois, sans motifs sérieux, substituer son opinion à celle de l'expert; en l'absence de tels motifs, il s'expose au reproche d'arbitraire (arrêt du Tribunal fédéral 8C_416/2019 du 15 juillet 2020 consid. 3.3 et les références). Ainsi, en matière technique, le juge ne s'écarte de l'avis d'un expert judiciaire que pour de sérieux motifs et il lui incombe d'apprécier les preuves et de résoudre les questions juridiques qui en découlent (arrêt du Tribunal fédéral 6P.40/2006 du 30 août 2006 consid. 2.1).</w:t>
      </w:r>
    </w:p>
    <w:p>
      <w:r>
        <w:rPr>
          <w:b/>
        </w:rPr>
        <w:t>E. 17</w:t>
      </w:r>
    </w:p>
    <w:p>
      <w:r>
        <w:t>En ce qui concerne les autres prestations de retraite du demandeur, la chambre de céans relève ce qui suit. Pour ce qui a trait au grief du demandeur quant au gain assuré, il faut en</w:t>
      </w:r>
    </w:p>
    <w:p>
      <w:r>
        <w:rPr>
          <w:b/>
        </w:rPr>
        <w:t>E. 17.1</w:t>
      </w:r>
    </w:p>
    <w:p>
      <w:r>
        <w:t>premier lieu relever que cette notion est bien définie à l’art. 8 al. 2 RCPEG, de sorte qu’on ne saurait retenir de violation du principe de planification ou de légalité sur ce point. S’agissant des variations du traitement assuré, il ressort des extractions de</w:t>
      </w:r>
    </w:p>
    <w:p>
      <w:r>
        <w:rPr>
          <w:b/>
        </w:rPr>
        <w:t>E. 17.2</w:t>
      </w:r>
    </w:p>
    <w:p>
      <w:r>
        <w:t>données concernant l’activité principale du demandeur que celui-ci a augmenté, de manière relativement linéaire, de CHF 144'108.- en janvier 2014 à CHF 146'038.- en août 2017. Il est ensuite passé à CHF 161'721.- en septembre 2017, pour atteindre CHF 163'476.- en août 2019, avant de redescendre à CHF 159'948.- en septembre 2019, sans plus varier de cette date jusqu’en mai 2020. Ces données apparaissent en conformité avec les changements dans la rémunération du demandeur, liés notamment au changement de classe en septembre 2017 et à la suppression de la rémunération liée à la fonction de responsable de recherche en septembre 2019. A ce sujet, on doit donner raison à la défenderesse en tant qu’elle soutient qu’il s’agit là d’un complément salarial soumis à cotisation dès septembre 2017, cette interprétation étant en effet conforme à la lettre du règlement du personnel de la HES et confirmée par la jurisprudence de la chambre de céans. Le fait que l’indemnité liée à la charge de responsable de la recherche n’ait pas été soumise à cotisations dans la prévoyance professionnelle avant septembre 2017 ne permet pas de parvenir à une autre conclusion. On rappellera du reste que selon la jurisprudence, seul l’employeur dispose de la légitimation passive lorsque les griefs d’un assuré en lien avec des prestations de prévoyance professionnelle portent sur les décomptes de salaire ou de certains éléments de rémunération (ATF 135 V 23 consid. 3.2). De plus, il est conforme aux principes régissant la prévoyance de la défenderesse que le traitement assuré connaisse des variations, puisqu’il est selon la définition qu’en donne l’art. 8 al. 2 RCPEG notamment fonction du TMA, lui-même susceptible de changements. On ne saurait ainsi pas y voir d’arbitraire.</w:t>
      </w:r>
    </w:p>
    <w:p>
      <w:r>
        <w:t>A/1147/2020 - 39/44 - Le demandeur affirme par ailleurs dans sa réplique du 18 novembre 2022</w:t>
      </w:r>
    </w:p>
    <w:p>
      <w:r>
        <w:rPr>
          <w:b/>
        </w:rPr>
        <w:t>E. 17.3</w:t>
      </w:r>
    </w:p>
    <w:p>
      <w:r>
        <w:t>que la défenderesse aurait fondé ses calculs non sur le traitement cotisant, mais sur le traitement déterminant. Cette allégation est cependant démentie par les chiffres ressortant des calculs des experts. En ce qui concerne les critiques émises par le demandeur à l’encontre des</w:t>
      </w:r>
    </w:p>
    <w:p>
      <w:r>
        <w:rPr>
          <w:b/>
        </w:rPr>
        <w:t>E. 17.4</w:t>
      </w:r>
    </w:p>
    <w:p>
      <w:r>
        <w:t>variations des montants mentionnés dans les certificats de prévoyance, on peut certes regretter que ceux-ci puissent être entachés d’inexactitudes, la défenderesse ayant admis une erreur dans le certificat établi en 2014. Cela étant, il faut rappeler que selon la jurisprudence, les renseignements figurant dans un certificat de prévoyance n'ont qu'un rôle informatif et ne sauraient en principe préjuger du droit futur aux prestations de la personne assurée (arrêt du Tribunal fédéral 9C_224/2010 du 1er septembre 2010 consid. 3.1). Le demandeur fait valoir qu’il aurait dû pouvoir racheter des années</w:t>
      </w:r>
    </w:p>
    <w:p>
      <w:r>
        <w:rPr>
          <w:b/>
        </w:rPr>
        <w:t>E. 17.5</w:t>
      </w:r>
    </w:p>
    <w:p>
      <w:r>
        <w:t>d'assurance au-delà de ses 24 ans. On voit cependant mal ce qu’il entend tirer de cette argumentation, dès lors qu’il a renoncé aux possibilités de rachat proposées par la défenderesse, et qu’il ne conclut pas à ce que celle-ci soit invitée à lui proposer un rachat. Il convient en particulier de souligner que sa conclusion intermédiaire, selon laquelle « il pouvait racheter l'intégralité de ses droits dans l'activité accessoire au 1er janvier 2014 pour un montant de CHF 38'378.95 », ne saurait être comprise comme tendant au renvoi de la cause à l’intimée afin de procéder concrètement à ce rachat, au vu de son caractère constatatoire. Partant, il n’y a pas lieu d’examiner si la défenderesse aurait dû après le basculement – qui relève selon la doctrine citée d’un cas de libre passage – proposer au demandeur un rachat des prestations réglementaires en lien avec son activité accessoire, voire un rachat afin de compenser la perte des prestations liées à l’activité principale consécutive à leur imputation au prorata dans l’activité accessoire. On peut également laisser ouvert le point de savoir si un tel rachat serait encore possible aux points de vue légal et réglementaire dans le cas d’espèce, en particulier eu égard à la survenance d’un cas de prévoyance. La société F______ a également confirmé l’exactitude des montants des</w:t>
      </w:r>
    </w:p>
    <w:p>
      <w:r>
        <w:rPr>
          <w:b/>
        </w:rPr>
        <w:t>E. 17.6</w:t>
      </w:r>
    </w:p>
    <w:p>
      <w:r>
        <w:t>pensions de retraite après avoir repris leur calcul. Elle a fourni des explications détaillées sur les paramètres de ces calculs et les formules applicables. C’est ici le lieu de rappeler que si la société F______ et ses collaborateurs n’ont pas formellement été désignés à titre d’experts dans la présente cause, ils ont bien la qualité d’experts ex lege, et les exigences légales et réglementaires rappelées ci- dessus garantissent leur indépendance. Par ailleurs, leurs rapports ont trait à des questions éminemment techniques, liées à des calculs actuariels complexes, de sorte que la chambre de céans ne doit en principe pas s’écarter de leurs conclusions, conformément à la jurisprudence citée. Reste à vérifier si des motifs sérieux permettent dans le cas d’espèce de remettre en cause les conclusions des experts.</w:t>
      </w:r>
    </w:p>
    <w:p>
      <w:r>
        <w:t>A/1147/2020 - 40/44 - S’agissant de la répartition au prorata du TMA et de la PLP dans les</w:t>
      </w:r>
    </w:p>
    <w:p>
      <w:r>
        <w:rPr>
          <w:b/>
        </w:rPr>
        <w:t>E. 17.7</w:t>
      </w:r>
    </w:p>
    <w:p>
      <w:r>
        <w:t>activités principale et accessoire dès le 1er janvier 2014, lors du transfert auprès de la défenderesse, elle repose sur les règles de basculement édictées par la défenderesse en vertu de l’art. 8 al. 7 RCPEG. En ce qui concerne les remarques du demandeur à l’encontre du document établissant lesdites règles, on relèvera que rien ne permet d’accréditer la thèse selon laquelle il aurait été établi pour les besoins de la présente cause. Le fait que l’exemple donné pour l’application de la méthode de calcul porte sur des taux d’activité différents de ceux du demandeur n’est pas déterminant, dès lors qu’un exemple n’a par définition pas pour vocation de représenter de façon exhaustive toutes les situations, mais d’illustrer par un cas d’espèce la manière dont une formule doit être appliquée, en permettant l’extrapolation à d’autres cas de figure. En l’espèce, les formules qu’établissent ces règles de basculement ont été appliquées mutatis mutandis à la situation du demandeur, comme l’ont exposé les experts. Sur le fond, ces règles prévoient une ventilation au prorata du TMA et de la PLP de la seule activité principale assurée durant l’affiliation auprès de la CIA aux deux – voire plus – activités désormais couvertes dans le nouveau plan. On ne voit pas en quoi cette réglementation serait contraire aux principes régissant la prévoyance professionnelle, et encore moins arbitraire. La solution ainsi adoptée ne viole en particulier pas le principe de planification, dès lors qu’elle correspond à une règle édictée lors du transfert des assurés auprès de la défenderesse. On ne saurait pas non plus y voir de violation de l’égalité de traitement. D’une part, la situation des membres qui sont désormais assurés pour un taux total d’activité global excédant un temps complet n’est pas semblable à celle d’assurés travaillant à un taux égal ou inférieur à 100 %. D’autre part, le comparatif établi par la société F______ démontre que la prise en compte des deux activités dès le 1er janvier 2014 confère au demandeur le droit à des prestations supérieures à celles qu’il pourrait prétendre si seule son activité principale était prise en compte. Le demandeur ne peut ainsi pas être suivi lorsqu’il affirme être prétérité par cette répartition des TMA au prorata, s’agissant du montant des prestations de retraite. On ne voit par ailleurs pas non plus en quoi la fixation d’une part de PLP par activité lors du basculement, conformément aux règles précitées, serait contraire à la réglementation transitoire, comme le soutient le demandeur. Compte tenu de ces éléments, il n’y a pas de motif de remettre en cause les règles de basculement et les calculs des prestations de retraite opérés sur cette base, ni par conséquent la répartition au prorata de la PLP et du TMA dans les deux activités du demandeur assurées dès le 1er janvier 2014. Le demandeur a élevé plusieurs griefs en lien avec la variation de son TMA.</w:t>
      </w:r>
    </w:p>
    <w:p>
      <w:r>
        <w:rPr>
          <w:b/>
        </w:rPr>
        <w:t>E. 17.8</w:t>
      </w:r>
    </w:p>
    <w:p>
      <w:r>
        <w:t>Les experts ont cependant confirmé la détermination du TMA et son évolution. Le fait que le TMA dans chacune des activités ait été par périodes inférieur au taux</w:t>
      </w:r>
    </w:p>
    <w:p>
      <w:r>
        <w:t>A/1147/2020 - 41/44 - effectif d’activité s’explique par les conséquences du basculement au 1er janvier 2014. L’augmentation du TMA en septembre 2019 malgré l’absence de rachat, dont le demandeur s’est étonné dans sa réplique, résulte de la baisse de son traitement dès cette date, qui a conduit à une libération de la PLP permettant un rachat du TMA. A ce sujet, contrairement à ce que soutient le demandeur, il est clairement prévu à l’art. 54bis RCPEG que les effets d’un rachat s’appliquent en priorité au TMA, puis aux années d’assurance. On ne peut ainsi tenir compte depuis le 1er janvier 2014 d’un TMA de 100 % dans l’activité principale et de 5 % dans l’activité accessoire, comme le voudrait le demandeur. En ce qui concerne le rappel de cotisations, la société F______ a également</w:t>
      </w:r>
    </w:p>
    <w:p>
      <w:r>
        <w:rPr>
          <w:b/>
        </w:rPr>
        <w:t>E. 17.9</w:t>
      </w:r>
    </w:p>
    <w:p>
      <w:r>
        <w:t>repris le calcul opéré en exposant ses différents paramètres, et en a confirmé le bien-fondé, en particulier s’agissant des changements de durée d’assurance qui en résultaient. Ce faisant, les experts ont appliqué les formules ressortant de la directive technique de la défenderesse, dont l’adéquation actuarielle n’est pas remise en cause. Il apparaît par ailleurs que la proposition de rachat – et la diminution des paramètres qui résulte de son refus – n’a été émise qu’à la suite du changement de classe de traitement résultant de la nouvelle collocation des professeurs HES, ce qui est conforme à l’art. 32 LCPEG. Le demandeur soutient que la réduction de la durée d’assurance ne devrait tenir compte que du refus de rachat en lien avec l’augmentation de classe de salaire, à l’exclusion de tout autre élément. Toutefois, le fait que l’augmentation du traitement ne donne pas lieu à des rappels hors des hypothèses visées par la loi n’exclut pas tout impact de cette augmentation sur les paramètres qui fondent le calcul des prestations, et partant sur les prestations mêmes. En effet, dès lors que le montant de la pension de retraite est notamment fonction du dernier traitement assuré, sa variation conduit nécessairement à une adaptation des autres paramètres pertinents pour le calcul des prestations, comme l’a rappelé la société F______. Dans le cas d’espèce, le versement dès le 1er septembre 2017 d’un complément salarial lié à la fonction de responsable de recherche, qui s’est substitué à l’indemnité non soumise à cotisation jusqu’alors versée, doit être pris en considération dans le traitement cotisant et il est par conséquent pertinent dans l’établissement – et l’adaptation – du droit aux prestations. On ne saurait ainsi en faire abstraction lorsqu’un rachat est décliné et que le droit aux prestations doit être recalculé. Le demandeur critique encore le fait que la hausse de son traitement a conduit à une réduction de la durée d’assurance, alors que sa baisse a abouti à une hausse du TMA. Outre le fait que les experts ont attesté que la modification de l’un de ces paramètres plutôt que de l’autre était neutre du point de vue du droit aux prestations, on rappellera encore une fois que le rachat prioritaire du TMA est</w:t>
      </w:r>
    </w:p>
    <w:p>
      <w:r>
        <w:t>A/1147/2020 - 42/44 - prévu par le règlement. Quant au fait que la prestation libérée par la baisse du traitement en septembre 2019 aurait dû être exclusivement répercutée sur la durée d’assurance, cet argument tombe à faux, dès lors que tel aurait pu être le cas seulement si le TMA avait alors atteint son taux maximal – hypothèse non réalisée ici, comme on l’a vu. Le demandeur a proposé des calculs alternatifs du montant des prestations</w:t>
      </w:r>
    </w:p>
    <w:p>
      <w:r>
        <w:rPr>
          <w:b/>
        </w:rPr>
        <w:t>E. 17.10</w:t>
      </w:r>
    </w:p>
    <w:p>
      <w:r>
        <w:t>de retraite auxquelles il estime avoir droit. Ces calculs ne peuvent être suivis. En premier lieu, ils se fondent sur un TMA de 100 % dans l’activité principale depuis le 1er janvier 2014, qui est incorrect au vu de sa répartition au prorata dans les deux activités à cette date. Si l’on tenait compte d’un TMA de 100 % dans l’activité principale dans les calculs de la pension de retraite, comme y conclut le demandeur, il y aurait alors lieu corollairement d’abaisser les prestations de retraite pour son activité secondaire, sans plus tenir compte de la PLP répartie ensuite du basculement. Or, comme cela ressort du comparatif de la société F______, un tel calcul ne serait pas favorable au demandeur. Le demandeur entend en réalité voir ses prestations calculées en fonction des paramètres presque maximaux dans ses deux activités, puisqu’il conclut à la fois à ce que sa pension de retraite dans son activité principale soit déterminée notamment en fonction d’un TMA de 100 %, et à ce que la pension de l’activité accessoire soit établie comme si l’intégralité des prestations réglementaires avait été acquise en suite du basculement. Or, d’une part, l’affectation du montant de CHF 38'378.95 déduit de la PLP de l’activité principale à la création d’une prestation d’entrée dans l’activité accessoire au 1er janvier 2014 ne signifie pas que cette somme suffisait à racheter l’intégralité des prestations réglementaires dans cette seconde activité, ce montant correspondant uniquement à la répartition de la PLP au prorata des taux d’activité. D’autre part, même à supposer que tel eut été le cas, cela aurait pour conséquence de décompter deux fois ce montant. En effet, les calculs du demandeur reviennent à faire abstraction de la répartition opérée lors du basculement, en tenant compte pour le calcul de sa rente de retraite de l’activité principale des prestations acquises durant l’affiliation auprès de la CIA, incluant l’intégralité de sa PLP, qui devrait néanmoins être prise en compte une nouvelle fois à hauteur de CHF 38'378.95 dans l’activité accessoire. Faire droit à ces conclusions serait contraire au règlement et violerait notamment le principe d’équivalence et de planification. Le demandeur n’ayant cotisé dans son activité accessoire que dès le 1er janvier 2014, il n’a pas acquis l’intégralité des prestations réglementaires dans ses deux activités. Or, il doit exister un équilibre du point de vue de la technique d'assurance, au sein d'un rapport d'assurance particulier, entre les prestations individuelles et les cotisations pour l’intéressé (ATF 140 V 154 consid. 7.3.2). En effet, tout plan de prévoyance est établi sur la base d'évaluations actuarielles précises qui définissent le coût des prestations et le taux des primes (arrêt du Tribunal fédéral 9C_460/2011 du 12</w:t>
      </w:r>
    </w:p>
    <w:p>
      <w:r>
        <w:t>A/1147/2020 - 43/44 - mars 2012 consid. 8.3.1) Le fait de fonder le calcul de la pension réglementaire de la seconde activité selon les paramètres avancés par le demandeur créerait ainsi une charge de prestations nouvelles pour la défenderesse, sans que celle-ci n'ait été couverte par des cotisations correspondantes puisque le demandeur n’a été affilié pour cette activité que dès le 1er janvier 2014. Compte tenu de ce qui précède, il n’existe pas de motifs de s’écarter de l’expertise réalisée par la société F______, et il y a ainsi lieu de confirmer ses calculs. Par appréciation anticipée des preuves (arrêt du Tribunal fédéral 8C_253/2020 du 12 novembre 2020 consid. 3.2), la chambre de céans ne donnera pas suite à la requête du demandeur tendant à la mise en œuvre d’une nouvelle expertise. Elle renoncera également à l’audition du demandeur, qui a pu faire valoir ses moyens par écrit.</w:t>
      </w:r>
    </w:p>
    <w:p>
      <w:r>
        <w:rPr>
          <w:b/>
        </w:rPr>
        <w:t>E. 18</w:t>
      </w:r>
    </w:p>
    <w:p>
      <w:r>
        <w:t>La demande est partiellement admise. La LPP ne contient aucune disposition relative à la fixation des dépens pour la procédure devant le tribunal cantonal, et le droit aux dépens est ainsi déterminé par le droit cantonal (arrêt du Tribunal fédéral 9C_590/2009 du 26 mars 2010 consid. 3.1). Selon l’art. 89H al. 3 de la loi sur la procédure administrative du 12 septembre 1985 (LPA-GE - E 5 10), une indemnité est allouée au recourant qui obtient gain de cause. Les dépens sont fixés en fonction du nombre d’échanges d’écritures, de l’importance et de la pertinence des écritures, de la complexité de l’affaire et du nombre d’audiences et d’actes d’instruction (ATAS/334/2013).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Partant, une indemnité de CHF 2'000.- à titre de dépens doit être allouée au demandeur. Elle sera supportée par la défenderesse. Pour le surplus, la procédure est gratuite (art. 73 al. 2 LPP).</w:t>
      </w:r>
    </w:p>
    <w:p>
      <w:r>
        <w:t>A/1147/2020 - 44/44 -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