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ATAS/36/2021 vom 26. Januar 2021</w:t>
      </w:r>
    </w:p>
    <w:p>
      <w:r>
        <w:t>GE Cour de justice, 2021-01-26, FR</w:t>
      </w:r>
    </w:p>
    <w:p>
      <w:r>
        <w:rPr>
          <w:b/>
        </w:rPr>
        <w:t xml:space="preserve">Quelle: </w:t>
      </w:r>
      <w:r>
        <w:t>https://mcp.opencaselaw.ch/entscheid/ge_gerichte_ATAS_36_2021</w:t>
      </w:r>
    </w:p>
    <w:p>
      <w:r>
        <w:t>FR: GE_GERICHTE ATAS/36/2021 du 26 janvier 2021</w:t>
      </w:r>
    </w:p>
    <w:p>
      <w:r>
        <w:t>IT: GE_GERICHTE ATAS/36/2021 del 26 gennaio 2021</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w:t>
      </w:r>
    </w:p>
    <w:p>
      <w:r>
        <w:rPr>
          <w:b/>
        </w:rPr>
        <w:t>E. 6</w:t>
      </w:r>
    </w:p>
    <w:p>
      <w:r>
        <w:t>De jurisprudence constante, les mesures provisionnelles ont pour objet de régler transitoirement la situation en cause jusqu’à ce que soit prise la décision finale (ATA/326/2011 ; ATA/197/2011 du 28 mars 2011 ; P. MOOR, op. cit., numéro 2.2.6.8, p. 267). Elles sont modifiables pendant le cours de la procédure et les demandes s’y rapportant peuvent être déposées en tout temps. Outre les domaines du droit expressément énumérés à l’art. 1 al. 3 de la loi fédérale sur la procédure administrative du 20 décembre 1968 (PA), l’art. 6 PA concernant les mesures provisionnelles est applicable. Selon cette disposition légale, après le dépôt du recours, l’autorité saisie peut prendre des mesures provisionnelles, d’office ou sur requête d’une partie, pour maintenir provisoirement intact un état de fait ou de droit. La compétence d’ordonner les mesures provisionnelles suppose dès lors le dépôt d’un recours ou d’une demande sur le fond (ATAS/582/2005). De telles mesures sont légitimes si elles s’avèrent nécessaires au maintien de l’état de fait ou à la sauvegarde des intérêts compromis. Toutefois, elles ne sauraient en principe anticiper sur le jugement définitif, ni équivaloir à une condamnation provisoire sur le fond, ni non plus aboutir à rendre d’emblée illusoire le procès au fond (ATA/326/2011 du 19 mai 2011 ; ATA/197/2011 du 28 mars 2011 et les références citées).</w:t>
      </w:r>
    </w:p>
    <w:p>
      <w:r>
        <w:rPr>
          <w:b/>
        </w:rPr>
        <w:t>E. 7</w:t>
      </w:r>
    </w:p>
    <w:p>
      <w:r>
        <w:t>Seules des mesures provisionnelles sont expressément prévues par la PA et la LPA. Les mesures « préprovisionnelles » ou « superprovisionnelles » n’y figurent pas.</w:t>
      </w:r>
    </w:p>
    <w:p>
      <w:r>
        <w:rPr>
          <w:b/>
        </w:rPr>
        <w:t>E. 8</w:t>
      </w:r>
    </w:p>
    <w:p>
      <w:r>
        <w:t>Le Tribunal fédéral et une partie de la doctrine admettent cependant leur existence en droit administratif lorsque l’urgence est telle que les parties ne peuvent être entendues à temps sans mettre en péril l’intérêt public ou privé en cause (art. 21 LPA en relation avec l’art. 43 let. d LPA ; P. MOOR, Droit administratif, volume 2, 3ème édition, Berne 2011, p. 306, N.2.2.6.8 et jurisprudences citées ; I. HÄNER, Vorsorgliche Massnahmen im Verwaltungsverfahren und Verwaltungsprozess, RDS 1997 II 254 ss).</w:t>
      </w:r>
    </w:p>
    <w:p>
      <w:r>
        <w:rPr>
          <w:b/>
        </w:rPr>
        <w:t>E. 9</w:t>
      </w:r>
    </w:p>
    <w:p>
      <w:r>
        <w:t>En l’espèce, les recourants ont certes un intérêt financier à obtenir une décision favorable sur mesures provisionnelles et leur recours n’apparaît pas de prime abord comme dépourvu de chance de succès s’agissant de la demande de restitution. Cependant, le pronostic relatif à l’issue de la cause quant au droit aux prestations futures apparaît quant à lui particulièrement incertain. En effet, que la demande de restitution soit ou non fondée, il n’est pas contesté que les recourants sont au bénéfice de rentes de vieillesse suisses et étrangères dont le montant doit être pris</w:t>
      </w:r>
    </w:p>
    <w:p>
      <w:r>
        <w:t>A/118/2021 - 8/9 - en compte dans le calcul de leur revenu déterminant, à hauteur de CHF 60'998.- par an, alors que les dépenses reconnues s’élèvent à respectivement CHF 43'935.- pour le calcul des prestations complémentaires cantonales et à CHF 53'492.- pour les prestations complémentaires fédérales au vu de la fiche du 31 octobre 2018. Ainsi même à supposer que l’immeuble à Bogota ne devait pas être pris en compte dans la fortune des recourants, ceux-ci ne seraient, a priori et sans préjuger de la décision finale, pas éligibles aux prestations complémentaires. Les motifs qui parlent en faveur de l’exécution immédiate de la décision ne peuvent dans ce cas l’emporter sur l’intérêt public à éviter que le SPC ne verse des prestations qui se révéleraient indues et devraient être restituées par les recourants, voire ne pourraient l’être. Les mesures provisionnelles ne peuvent dès lors pas être ordonnées, les conditions à leur octroi ne sont pas remplies. La requête sera rejetée. * * * * * *</w:t>
      </w:r>
    </w:p>
    <w:p>
      <w:r>
        <w:t>A/118/2021 - 9/9 - 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