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ATAS/36/2017 vom 23. Januar 2017</w:t>
      </w:r>
    </w:p>
    <w:p>
      <w:r>
        <w:t>GE Cour de justice, 2017-01-23, FR</w:t>
      </w:r>
    </w:p>
    <w:p>
      <w:r>
        <w:rPr>
          <w:b/>
        </w:rPr>
        <w:t xml:space="preserve">Quelle: </w:t>
      </w:r>
      <w:r>
        <w:t>https://mcp.opencaselaw.ch/entscheid/ge_gerichte_ATAS_36_2017</w:t>
      </w:r>
    </w:p>
    <w:p>
      <w:r>
        <w:t>FR: GE_GERICHTE ATAS/36/2017 du 23 janvier 2017</w:t>
      </w:r>
    </w:p>
    <w:p>
      <w:r>
        <w:t>IT: GE_GERICHTE ATAS/36/2017 del 23 gennaio 2017</w:t>
      </w:r>
    </w:p>
    <w:p>
      <w:pPr>
        <w:pStyle w:val="Heading2"/>
      </w:pPr>
      <w:r>
        <w:t>Erwägungen</w:t>
      </w:r>
    </w:p>
    <w:p>
      <w:r>
        <w:rPr>
          <w:b/>
        </w:rPr>
        <w:t>E. 10</w:t>
      </w:r>
    </w:p>
    <w:p>
      <w:r>
        <w:t>Par réplique du 25 octobre 2016, la recourante a requis le déblocage du compte BCGE City n° 1______., alléguant qu’elle n’avait pas quitté la Suisse et que les renseignements requis par l’intimé ressortaient désormais du dossier.</w:t>
      </w:r>
    </w:p>
    <w:p>
      <w:r>
        <w:rPr>
          <w:b/>
        </w:rPr>
        <w:t>E. 11</w:t>
      </w:r>
    </w:p>
    <w:p>
      <w:r>
        <w:t>L’intimé, par écriture du 2 novembre 2016, s’est opposé au déblocage du compte bancaire auprès de la BCGE, dès lors que selon les registres de l’Office cantonal de la population et des migrations (OCPM), la recourante avait quitté la Suisse le 30 avril 2016 et indiqué qu’elle n’avait pas de nouvelle adresse à communiquer.</w:t>
      </w:r>
    </w:p>
    <w:p>
      <w:r>
        <w:rPr>
          <w:b/>
        </w:rPr>
        <w:t>E. 12</w:t>
      </w:r>
    </w:p>
    <w:p>
      <w:r>
        <w:t>Lors de l’audience de comparution personnelle du 18 janvier 2017, la recourante a communiqué l’extrait de son compte bancaire auprès de la BCGE attestant d’un montant en capital et intérêts de CHF 10'136.84 au 31 décembre 2016. Elle a confirmé avoir annoncé son départ de la Suisse pour Abu Dhabi, expliquant qu’elle était menacée de mort par les héritiers de feu D______, raison pour laquelle elle ne pouvait pas avoir de domicile fixe. Les parties ont persisté dans toutes leurs conclusions.</w:t>
      </w:r>
    </w:p>
    <w:p>
      <w:r>
        <w:rPr>
          <w:b/>
        </w:rPr>
        <w:t>E. 13</w:t>
      </w:r>
    </w:p>
    <w:p>
      <w:r>
        <w:t>À l’issue de l’audience, la cause a été gardée à juger sur incident.</w:t>
      </w:r>
    </w:p>
    <w:p>
      <w:r>
        <w:t>EN DROIT 1.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w:t>
      </w:r>
    </w:p>
    <w:p>
      <w:r>
        <w:t>A/3048/2016 - 4/7 - la LPGA et ses dispositions d’exécution, sont applicables par analogie en cas de silence de la législation cantonale (art. 1A LPCC). 3. Le recours, interjeté dans les forme et délai requis, est recevable (art. 56 et 60 LPGA ; art. 89B de la loi sur la procédure administrative du 12 septembre 1985 - LPA-GE - E 5 10). 4. La chambre de céans doit statuer en premier lieu sur la requête de la recourante visant au déblocage de son compte bancaire n° 1______.auprès de la BCGE. Il convient ainsi d’examiner si la mesure provisionnelle prise par l’intimé est fondée. 5. a. Selon l’art. 55 al. 1 LPGA, les points de procédure qui ne sont pas réglés de manière exhaustive aux articles 27 à 54 LPGA ou par les dispositions des lois spéciales sont régis par la loi fédérale sur la procédure administrative du 20 décembre 1968 (PA ; RS 172.021). Outre les domaines du droit expressément énumérés à l’art. 1 al. 3 PA, l’art. 56 PA concernant les mesures provisionnelles s’applique à la procédure devant la juridiction compétente en matière d’assurances sociales (Ueli KIESER, ATS G- Kommentar 2009, ad art. 61 ch. 22). A teneur de cette disposition, après le dépôt du recours, l'autorité de recours, son président ou le juge instructeur peut prendre d'autres mesures provisionnelles, d'office ou sur requête d'une partie, pour maintenir intact un état de fait existant ou sauvegarder des intérêts menacés. b. Sur le plan cantonal, aux termes de l’art. 21 de la loi sur la procédure administrative du 12 septembre 1985 (LPA-GE - E 5 10), l’autorité peut, d’office ou sur requête, ordonner des mesures provisionnelles en exigeant au besoin des sûretés. Ces mesures sont ordonnées par le président s’il s’agit d’une autorité collégiale ou d’une juridiction administrative. c. La loi ne prévoit pas les conditions dans lesquelles des mesures provisionnelles peuvent être ordonnées. Il faut se référer pour cela à la doctrine et à la jurisprudence (cf. Pierre MOOR, droit administratif tomme 2, 2ème édition STAMPFLI p. 269 et ss et jurisprudence citée). Les mesures provisionnelles sont de deux catégories. D’une part, les mesures conservatoires qui visent à garantir que l’état de fait ou de droit qui est à la base de la décision prise ou à prendre ne se modifie pas pendant la litispendance; d’autre part, les mesures formatrices qui régissent le contenu d’une relation juridique de manière temporaire, en attendant qu’elle reçoive un régime définitif dans la décision finale. Compte tenu de l’étroite connexité liant l’effet suspensif aux autres mesures provisionnelles au sens de l’art. 56 PA, les principes applicables au retrait de l’effet suspensif s’appliquent par analogie à ces mesures. Selon la jurisprudence, l’autorité de recours saisie d’une requête en restitution de l’effet suspensif doit procéder à une pesée des intérêts en présence. Dès lors, l’autorité qui se prononce sur l’ordonnance d’autres mesures (provisionnelles) d’après l’art. 56 PA doit également examiner si les motifs en faveur de l’exécution immédiate de la décision ont plus de poids que ceux qui peuvent être invoqués pour soutenir une solution contraire (RCC 1991 p.</w:t>
      </w:r>
    </w:p>
    <w:p>
      <w:r>
        <w:t>A/3048/2016 - 5/7 - 520). Pour ce faire, le juge se fonde sur l’état de fait tel qu’il résulte du dossier, sans effectuer de longues investigations supplémentaires. D'après la jurisprudence relative à l'art. 55 al. 1 PA - à laquelle l'entrée en vigueur de la LPGA et de l'OPGA n'a rien changé (arrêt P. du 24 février 2004, I 46/04, consid, 1, in HAVE 2004 p. 127), la possibilité de retirer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A cet égard, le seul fait que la décision de fond poursuive un but d’intérêt public ne suffit pas à justifier son exécution immédiate. En procédant à la pesée des intérêts en présence, les prévisions sur l’issue du litige au fond peuvent être prises en considération. Il faut cependant qu’elles ne fassent aucun doute. Par ailleurs, l'autorité ne saurait retirer l'effet suspensif au recours lorsqu'elle n'a pas de raisons convaincantes pour le faire (ATF 124 V 88 consid. 6a, 117 V 191 consid. 2b et les références). En d'autres termes, les conditions à remplir pour l’octroi de mesures provisionnelles sont au nombre de trois : - l’existence de motifs objectivement fondés justifiant l’intervention. Il faut voir ici l’importance de l’intérêt vraisemblablement compromis par le maintien pur et simple de la situation, la gravité possible des effets de l’absence d’intervention provisoire, l’urgence qu’il y a à agir. A noter que la pratique n’exige pas une atteinte irréversible. - le pronostic relatif à l’issue de la cause doit être favorable. Le recours ne doit pas apparaître de prime abord comme dépourvu de chance de succès. - la mesure provisionnelle ne doit pas préjuger de la décision finale en créant par son propre effet une situation irréversible qui rende vaine l’issue du recours. 6. En l’espèce et en l’état actuel de la procédure, les chances de succès de la recourante n’apparaissent pas d’emblée évidentes. Il n’est en effet pas contesté que la recourante doive restituer des prestations complémentaires suite au legs de CHF 1'794'949.- dont elle a bénéficié. Seul demeure litigieux le montant à restituer, lequel dépendra du point de savoir si la date déterminante pour le nouveau calcul des prestations complémentaires doit rétroagir à la date de l’ouverture de la succession comme l’intime le soutient ou, si l’on suit l’avis de la recourante, à la date à laquelle elle a reçu le legs. Quoi qu’il en soit, la chambre de céans constate que le montant des avoirs bloqués sur le compte de la recourante auprès de la BCGE ne s’élève qu’à CHF 10'136.-. Or, selon les pièces du dossier, l’essentiel de sa fortune est déposée sur des comptes bancaires auprès d’une autre banque, dont elle a la libre disposition. La recourante a</w:t>
      </w:r>
    </w:p>
    <w:p>
      <w:r>
        <w:t>A/3048/2016 - 6/7 - par ailleurs annoncé son départ de Suisse le 30 avril 2016 et admet ne pas s’être constitué un nouveau domicile fixe, craignant pour sa vie. En l’absence d’autres garanties données par la recourante, il apparaît que la mesure prise par l’intimé pour sauvegarder ses intérêts n’est pas disproportionnée. Au vu de ces circonstances, la demande de déblocage du compte bancaire de la recourante doit être rejetée.</w:t>
      </w:r>
    </w:p>
    <w:p>
      <w:r>
        <w:t>A/3048/2016 - 7/7 -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