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ATAS/36/2015 vom 20. Januar 2015</w:t>
      </w:r>
    </w:p>
    <w:p>
      <w:r>
        <w:t>GE Cour de justice, 2015-01-20, FR</w:t>
      </w:r>
    </w:p>
    <w:p>
      <w:r>
        <w:rPr>
          <w:b/>
        </w:rPr>
        <w:t xml:space="preserve">Quelle: </w:t>
      </w:r>
      <w:r>
        <w:t>https://mcp.opencaselaw.ch/entscheid/ge_gerichte_ATAS_36_2015</w:t>
      </w:r>
    </w:p>
    <w:p>
      <w:r>
        <w:t>FR: GE_GERICHTE ATAS/36/2015 du 20 janvier 2015</w:t>
      </w:r>
    </w:p>
    <w:p>
      <w:r>
        <w:t>IT: GE_GERICHTE ATAS/36/2015 del 20 gennaio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4.2</w:t>
      </w:r>
    </w:p>
    <w:p>
      <w:r>
        <w:t>;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 du Tribunal fédéral I 257/04 du 17 mars 2005 ; arrêts du Tribunal fédéral D. I 308/04 et I 309/04 du 14 janvier 2005 ; I 681/02 S.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La jurisprudence ne pose pas de grandeur limite au-delà de laquelle l'aide des membres de la famille ne serait plus possible (arrêt 9C_716/2012 du 11 avril 2013</w:t>
      </w:r>
    </w:p>
    <w:p>
      <w:r>
        <w:t>A/1251/2014 - 9/12 - consid. 4.4). Elle pose comme critère que l'aide ne saurait constituer une charge excessive du seul fait qu'elle va au-delà du soutien que l'on peut attendre de manière habituelle sans atteinte à la santé (ATF 133 V 504 consid. 4.2 p. 509 s.; 130 V 97 consid. 3.3.3 p. 101 et les références). Dans le cadre de l'évaluation de l'invalidité dans les travaux habituels, l'aide des membres de la famille (en particulier celle des enfants) va au-delà de ce qu'on peut attendre de celles-ci, si la personne assurée n'est pas atteinte dans sa santé (arrêt du Tribunal fédéral I 681/02 S. du 11 août 2003 ; arrêt du Tribunal fédéral non publié I 407/92 C. du 8 novembre 1993).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w:t>
      </w:r>
    </w:p>
    <w:p>
      <w:r>
        <w:rPr>
          <w:b/>
        </w:rPr>
        <w:t>E. 5</w:t>
      </w:r>
    </w:p>
    <w:p>
      <w:r>
        <w:t>Le litige porte sur le droit de l’assurée à une rente entière d’invalidité, singulièrement sur le taux d’empêchement dans la sphère privée.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soit la méthode générale de comparaison des revenus, la méthode mixte ou la méthode spécifique, dépendra du statut du bénéficiaire potentiel de la</w:t>
      </w:r>
    </w:p>
    <w:p>
      <w:r>
        <w:t>A/1251/2014 - 7/12 -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8</w:t>
      </w:r>
    </w:p>
    <w:p>
      <w:r>
        <w:t>En l’espèce, l’OAI a retenu que l’assurée, en bonne santé, n’aurait pas exercé d’activité lucrative, dans la mesure où elle ne travaillait pas depuis plusieurs années avant son AVC, par choix personnel. L’assurée ne le conteste pas. C’est dès lors à bon droit que l’OAI lui a appliqué la méthode dite spécifique.</w:t>
      </w:r>
    </w:p>
    <w:p>
      <w:r>
        <w:rPr>
          <w:b/>
        </w:rPr>
        <w:t>E. 9</w:t>
      </w:r>
    </w:p>
    <w:p>
      <w:r>
        <w:t>Aux termes de l’art. 28a al. 2 LAI, « l'invalidité de l'assuré qui n'exerce pas d'activité lucrative et dont on ne peut raisonnablement exiger qu'il en entreprenne une est évaluée, en dérogation à l'art. 16 LPGA, en fonction de son incapacité à accomplir ses travaux habituels ». L’art. 27 RAI précise que « par travaux habituels des assurés travaillant dans le ménage, il faut entendre notamment l'activité usuelle dans le ménage, l'éducation des enfants ainsi que toute activité artistique ou d'utilité publique ».</w:t>
      </w:r>
    </w:p>
    <w:p>
      <w:r>
        <w:rPr>
          <w:b/>
        </w:rPr>
        <w:t>E. 10</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L'administration procède ainsi à une enquête sur les activités ménagères et fixe l'empêchement dans chacune des activités habituelles conformément aux chiffres 3095ss de la circulaire concernant l'invalidité et l'impotence de l'assurance- invalidité. Selon la jurisprudence, une enquête ménagère effectuée au domicile de la personne assurée constitue en règle générale une base appropriée et suffisante pour évaluer les empêchements dans l’accomplissement des travaux habituels. En ce qui</w:t>
      </w:r>
    </w:p>
    <w:p>
      <w:r>
        <w:t>A/1251/2014 - 8/12 -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w:t>
      </w:r>
    </w:p>
    <w:p>
      <w:r>
        <w:rPr>
          <w:b/>
        </w:rPr>
        <w:t>E. 11</w:t>
      </w:r>
    </w:p>
    <w:p>
      <w:r>
        <w:t>Pour satisfaire à l'obligation de réduire le dommage (voir ATF 129 V 463 consid.</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14</w:t>
      </w:r>
    </w:p>
    <w:p>
      <w:r>
        <w:t>Selon l’enquête ménagère réalisée le 19 novembre 2013 au domicile de l’assurée, celle-ci présente une incapacité à accomplir les tâches ménagères de 42%, ce compte tenu d’une exigibilité de 28,5% retenue pour sa fille.</w:t>
      </w:r>
    </w:p>
    <w:p>
      <w:r>
        <w:rPr>
          <w:b/>
        </w:rPr>
        <w:t>E. 15</w:t>
      </w:r>
    </w:p>
    <w:p>
      <w:r>
        <w:t>La chambre de céans relève à titre liminaire que le rapport d'enquête ménagère a été élaboré par une personne qualifiée ayant connaissance de la situation locale et spatiale, ainsi que des empêchements et des handicaps résultant des diagnostics médicaux, que le résultat des observations effectuées est motivé et rédigé de façon suffisamment détaillée en ce qui concerne les diverses limitations. Par ailleurs, il n'est pas contesté que ce rapport correspond aux indications données sur place par l'assurée. Il y a également lieu de rappeler qu’en principe, le juge n’intervient pas</w:t>
      </w:r>
    </w:p>
    <w:p>
      <w:r>
        <w:t>A/1251/2014 - 10/12 - dans l’appréciation de l’auteur du rapport sauf lorsqu’il existe des erreurs d’estimation que l’on peut clairement constater ou des indices laissant apparaître une inexactitude dans les résultats de l’enquête. À la lumière de ces éléments, le rapport d'enquête ménagère du 19 novembre 2013 doit se voir reconnaître pleine valeur probante.</w:t>
      </w:r>
    </w:p>
    <w:p>
      <w:r>
        <w:rPr>
          <w:b/>
        </w:rPr>
        <w:t>E. 16</w:t>
      </w:r>
    </w:p>
    <w:p>
      <w:r>
        <w:t>Il est vrai que selon les conclusions du médecin traitant, du reste confirmées par le médecin du SMR, la capacité de travail de l’assurée est nulle et aucune amélioration n’est envisageable. La fixation de l'invalidité dans les travaux habituels ne peut toutefois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(arrêts du Tribunal fédéral I 308/04 du 14 janvier 2005 ; I 249/04 M. du 6 septembre 2004 consid. 5.1.1 ; I 155/04 W. du 26 juillet 2004 consid. 3.2 ; I 685/02 S. du 28 février 2003 consid. 3.2 ; VSI 2001 p. 158 consid. 3c). Il apparaît en l’espèce que l’enquêtrice a bel et bien retenu que l’assurée était incapable, dans une très large mesure, d’accomplir des tâches ménagères, mais a tenu compte de l’aide apportée par la fille, ce à hauteur de 28,5%. Il y a à cet égard lieu de rappeler que dans le cadre de l'évaluation de l'invalidité dans les travaux habituels, l'aide des membres de la famille (en particulier celle des enfants) va au- delà de ce qu'on peut attendre de celles-ci, si la personne assurée n'est pas atteinte dans sa santé (arrêts du Tribunal fédéral non publié I 407/92 C. du 8 novembre 1993 ; I 681/02 S.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I 308/04 du 14 janvier 2005 ; voir également MEYER-BLASER, Rechtsprechung des Bundesgerichts zum IVG, Zurich 1997, p. 222).</w:t>
      </w:r>
    </w:p>
    <w:p>
      <w:r>
        <w:rPr>
          <w:b/>
        </w:rPr>
        <w:t>E. 17</w:t>
      </w:r>
    </w:p>
    <w:p>
      <w:r>
        <w:t>L’assurée relève que l’enquêtrice ne se réfère à aucune jurisprudence en particulier lorsqu’elle fait état d’un taux d’exigibilité de 30% pour les membres de la famille vivant dans le même logement.</w:t>
      </w:r>
    </w:p>
    <w:p>
      <w:r>
        <w:t>A/1251/2014 - 11/12 - Selon la jurisprudence, il n’y a toutefois pas de grandeur limite au-delà de laquelle l'aide des membres de la famille ne serait plus possible. Le taux de 28,5% retenu par l’enquêtrice n’est à cet égard pas critiquable.</w:t>
      </w:r>
    </w:p>
    <w:p>
      <w:r>
        <w:rPr>
          <w:b/>
        </w:rPr>
        <w:t>E. 18</w:t>
      </w:r>
    </w:p>
    <w:p>
      <w:r>
        <w:t>Dans un arrêt du 18 mars 2009, le TF a eu l’occasion de se déterminer sur la participation du mari aux tâches ménagères que l’OAI avait fixé entre 10% et 30% selon le type d’activités, alors que celui-ci était absent de son domicile près de douze heures par jour pour raisons professionnelles. Le TF a admis le recours interjeté par l’OAI et renvoyé la cause à la juridiction cantonale pour instruction complémentaire, considérant qu’il n’était pas possible de connaître avec précision tous les travaux ménagers mis à la charge du mari et donc de déterminer s'ils devaient être considérés comme admissibles pour lui, compte tenu de sa situation professionnelle et familiale (arrêt du Tribunal fédéral 9C_183/2008 du 18 mars 2009). On ne se trouve toutefois pas dans la même situation. On connaît en effet précisément les travaux ménagers mis à la charge de la fille de l’assurée. Il y a par ailleurs lieu de considérer en l’espèce, que même si la fille de l’assurée exerce elle aussi une activité lucrative à plein temps et doit effectuer de relativement longs trajets - jusqu’à Nyon - pour son travail, elle devrait quoi qu’il en soit entretenir son logement, faire ses commissions, laver son linge et préparer ses repas. Rien ne permet de considérer en conséquence que les tâches supplémentaires que doit assumer la fille en faisant des courses et en confectionnant des repas pour deux (au lieu d’un repas pour elle seule) constitueraient une charge excessive au sens de la jurisprudence.</w:t>
      </w:r>
    </w:p>
    <w:p>
      <w:r>
        <w:rPr>
          <w:b/>
        </w:rPr>
        <w:t>E. 19</w:t>
      </w:r>
    </w:p>
    <w:p>
      <w:r>
        <w:t>Il se justifie dès lors de confirmer l’empêchement établi lors de l’enquête du 19 novembre 2013, soit celui de 42%, et partant le droit à un quart de rente. Aussi le recours est-il rejeté. Il va de soi en revanche que la situation devra être revue à partir du 15 août 2014, date à laquelle l’assurée a emménagé dans son propre appartement. Du reste, l’assurée a d’ores et déjà déposé une demande de révision lors de l’audience de comparution personnelle des parties du 28 octobre 2014 (cf. procès-verbal).</w:t>
      </w:r>
    </w:p>
    <w:p>
      <w:r>
        <w:t>A/1251/2014 - 12/12 -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