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ATAS/369/2026 vom 30. April 2026</w:t>
      </w:r>
    </w:p>
    <w:p>
      <w:r>
        <w:t>GE Cour de justice, 2026-04-30, FR</w:t>
      </w:r>
    </w:p>
    <w:p>
      <w:r>
        <w:rPr>
          <w:b/>
        </w:rPr>
        <w:t xml:space="preserve">Quelle: </w:t>
      </w:r>
      <w:r>
        <w:t>https://mcp.opencaselaw.ch/entscheid/ge_gerichte_ATAS_369_2026</w:t>
      </w:r>
    </w:p>
    <w:p>
      <w:r>
        <w:t>FR: GE_GERICHTE ATAS/369/2026 du 30 avril 2026</w:t>
      </w:r>
    </w:p>
    <w:p>
      <w:r>
        <w:t>IT: GE_GERICHTE ATAS/369/2026 del 30 aprile 2026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LPGA relatives à la loi fédérale sur l’assurance-invalidité du 19 juin 1959 (LAI - RS 831.20). Sa compétence pour juger du cas d’espèce est ainsi établie.</w:t>
      </w:r>
    </w:p>
    <w:p>
      <w:r>
        <w:rPr>
          <w:b/>
        </w:rPr>
        <w:t>E. 2.1</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w:t>
      </w:r>
    </w:p>
    <w:p>
      <w:r>
        <w:t>A/970/2026 - 6/10 - concernée ne donne pas suite rapidement à la mise en demeure prévue à l’art. 4 al. 4 (art. 62 al. 6 LPA).</w:t>
      </w:r>
    </w:p>
    <w:p>
      <w:r>
        <w:rPr>
          <w:b/>
        </w:rPr>
        <w:t>E. 2.2</w:t>
      </w:r>
    </w:p>
    <w:p>
      <w:r>
        <w:t>En l’espèce, le recourant a formellement sollicité la prise d’une décision par l’OAI par courrier du 10 mars 2026, avant de recourir pour déni de justice le 17 mars 2026. Compte tenu du délai – très bref – qui s’est écoulé entre la mise en demeure de l’OAI et le recours devant la chambre de céans, la question se pose de savoir si, conformément à l’art. 62 al. 6 LPA, l’autorité n’a pas donné suite rapidement à la mise en demeure. La question de la recevabilité du recours pour déni de justice peut toutefois demeurer indécise, pour les motifs qui suivent.</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w:t>
      </w:r>
    </w:p>
    <w:p>
      <w:r>
        <w:t>A/970/2026 - 7/10 -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117 Ia 117 consid. 3a et 197 consid. 1c ; arrêts du Tribunal fédéral I 819/02 du 23 avril 2003 consid. 2.1 ;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 Pour le surplus, l'autorité saisie d'un recours pour retard injustifié ne saurait se substituer à l'autorité précédente pour statuer au fond. Elle ne peut qu'inviter l'autorité concernée à statuer à bref délai (ATF 130 V 90 ; cf.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rPr>
          <w:b/>
        </w:rPr>
        <w:t>E. 3.4</w:t>
      </w:r>
    </w:p>
    <w:p>
      <w:r>
        <w:t>Le Tribunal fédéral a nié l’existence d'un retard injustifié notamment dans un cas où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La cause revêtait en outre une certaine</w:t>
      </w:r>
    </w:p>
    <w:p>
      <w:r>
        <w:t>A/970/2026 - 8/10 -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Il en a fait de même dans un cas où il y avait eu un intervalle d'environ 21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w:t>
      </w:r>
    </w:p>
    <w:p>
      <w:r>
        <w:rPr>
          <w:b/>
        </w:rPr>
        <w:t>E. 3.5</w:t>
      </w:r>
    </w:p>
    <w:p>
      <w:r>
        <w:t>En l’occurrence, le recourant reproche à l’intimé un retard à rendre une décision, à la suite de sa demande de prestations du 23 septembre 2024, ce que l’intimé conteste. Il ressort du dossier du recourant que l’intimé a mené l’instruction du cas, depuis le dépôt de la demande de prestations du 23 septembre 2024 jusqu’à ce jour, de telle manière qu’on ne saurait lui reprocher un retard intolérable. En effet, dès réception de la demande, l’intimé a sollicité des renseignements médicaux auprès des médecins traitants de l’assuré. Dans son rapport médical du</w:t>
      </w:r>
    </w:p>
    <w:p>
      <w:r>
        <w:rPr>
          <w:b/>
        </w:rPr>
        <w:t>E. 8</w:t>
      </w:r>
    </w:p>
    <w:p>
      <w:r>
        <w:t>décembre 2024, la Dre B______ a estimé que le cas n'était pas stabilisé et que le patient était apte à suivre une mesure de réinsertion professionnelle à un taux partiel dans un délai de six mois. En février 2025, l’OAI a été informé que l’assuré avait été convoqué à une expertise médicale LAMal. En mai 2025, il a invité l’assurance à lui faire parvenir une copie de l’expertise médicale, ainsi que le détail des incapacités de travail répertoriées, ce qui a été fait le 5 juin 2025. L’OAI a ensuite sollicité des renseignements médicaux complémentaires des Drs B______ et D______. En août 2025, la Dre B______ a conclu à une capacité de travail de l’assuré, avec une reprise à 20% assortie d’une augmentation progressive de 10% toutes les trois semaines. Ensuite, plusieurs contacts téléphoniques ont été échangés avec le recourant afin d’évaluer l’évolution concrète de sa situation et de sa capacité de travail. Au mois de novembre 2025,</w:t>
      </w:r>
    </w:p>
    <w:p>
      <w:r>
        <w:t>A/970/2026 - 9/10 - l’assuré a notamment indiqué qu’il convenait d’interroger le centre G______, soit en particulier sa psychologue H______, ce que l’OAI a fait sans délai. Parallèlement, il a à nouveau sollicité la médecin traitante du recourant afin d’actualiser les éléments au dossier. Dès réception du rapport de la psychologue, qui avait été relancée à plusieurs reprises, l’OAI a transmis le dossier pour avis au SMR. Les différents renseignements recueillis ont ensuite permis au SMR de se prononcer dans un avis du 11 mars 2026, soit un mois après réception du rapport de la psychologue traitante du recourant. Le jour-même, un mandat a été transmis au service de réadaptation. Dans ces conditions, aucun retard, ou temps mort, au sens de la jurisprudence précitée ne peut être imputé à ce jour à l’intimé, lequel a par ailleurs indiqué que le recourant serait reçu par le service de réadaptation le 5 mai 2026. 4. Partant, le recours ne peut qu’être rejeté, en tant qu’il est recevable. Les faits de la cause étant suffisamment établis par les pièces au dossier, il ne sera pas donné suite aux demandes d’audition de témoins et de production de pièces. Enfin, le recourant a retiré sa demande de mesures provisionnelles. Celle-ci aurait, quoi qu’il en soit, été sans objet compte tenu du prononcé du présent arrêt. La chambre de céans relèvera, à toutes fins utiles, que si la situation financière du recourant est certes précaire, il lui est loisible de demander des prestations d’aide sociale à l’Hospice général s’il est sans revenu pour des raisons de santé. Dans l’intervalle, il appartiendra à l’intimé d’agir avec diligence et conformément au principe de célérité, en vue de rendre une décision relative à la demande de prestations dans les meilleurs délais. Eu égard à la nature du litige, la procédure est gratuite (art. 69 al. 1bis de la loi fédérale sur l’assurance-invalidité du 19 juin 1959 [LAI - 831.20] a contrario).</w:t>
      </w:r>
    </w:p>
    <w:p>
      <w:r>
        <w:t>******</w:t>
      </w:r>
    </w:p>
    <w:p>
      <w:r>
        <w:t>A/970/2026 - 10/10 -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