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ATAS/369/2018 vom 30. April 2018</w:t>
      </w:r>
    </w:p>
    <w:p>
      <w:r>
        <w:t>GE Cour de justice, 2018-04-30, FR</w:t>
      </w:r>
    </w:p>
    <w:p>
      <w:r>
        <w:rPr>
          <w:b/>
        </w:rPr>
        <w:t xml:space="preserve">Quelle: </w:t>
      </w:r>
      <w:r>
        <w:t>https://mcp.opencaselaw.ch/entscheid/ge_gerichte_ATAS_369_2018</w:t>
      </w:r>
    </w:p>
    <w:p>
      <w:r>
        <w:t>FR: GE_GERICHTE ATAS/369/2018 du 30 avril 2018</w:t>
      </w:r>
    </w:p>
    <w:p>
      <w:r>
        <w:t>IT: GE_GERICHTE ATAS/369/2018 del 30 aprile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Le recours a été interjeté en temps utile (art. 60 LPGA), et il satisfait aux exigences, peu élevées,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w:t>
      </w:r>
    </w:p>
    <w:p>
      <w:r>
        <w:t>A/4253/2017 - 4/8 -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w:t>
      </w:r>
    </w:p>
    <w:p>
      <w:r>
        <w:t>A/4253/2017 - 5/8 -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w:t>
      </w:r>
    </w:p>
    <w:p>
      <w:r>
        <w:t>A/4253/2017 - 6/8 -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w:t>
      </w:r>
    </w:p>
    <w:p>
      <w:r>
        <w:rPr>
          <w:b/>
        </w:rPr>
        <w:t>E. 3</w:t>
      </w:r>
    </w:p>
    <w:p>
      <w:r>
        <w:t>a. En l’espèce, l’intimé a admis et pouvait admettre, au vu du certificat médical produit par la recourante, que cette dernière n’était pas en mesure de se présenter à l’entretien de conseil du 25 septembre 2017 à 10h30, mais il a retenu, en réduisant la durée de la suspension de huit à six jours, que la recourante aurait dû et pu avertir à l’avance sa conseillère en personnel de son empêchement de se présenter audit rendez-vous. La recourante fait valoir que ses migraines étaient telles, ce matin-là, qu’elle n’avait pas même pu se lever mais avait dû rester dans l’obscurité, si bien qu’elle n’avait pas pu avertir son conseiller en personnel à l’avance qu’elle ne serait pas présente audit rendez-vous. b. Force est de relever que le certificat médical produit, daté du 2 octobre 2017, ne contient que l’affirmation d’une « incapacité à 100 % », faite rétroactivement sept jours après les faits, par un psychiatre-psychothérapeute. Il ne saurait en résulter, tant par la tardiveté de son établissement que par son caractère laconique et au demeurant l’absence de spécialisation dudit médecin pour des migraines (comme en aurait notamment un neurologue), que la recourante n’aurait pas pu, le matin du 25 septembre 2017, effectuer un téléphone (ou envoyer un courriel) à sa conseillère en personnel pour l’avertir de son absence à l’entretien de conseil fixé pour 10h30 ce matin-là. c. La chambre de céans estime néanmoins qu’un certain crédit doit être accordé à l’affirmation de la recourante qu’elle était fort mal ce matin-là et avait – comme cela paraît lui arriver – des migraines aiguës l’ayant contrainte à rester couchée dans l’obscurité, au point que sa faute – condition première du prononcé d’une sanction – de ne pas avoir informé aussitôt sa conseillère en personnel de son empêchement de se présenter à l’entretien fixé, avant même ledit rendez-vous, apparaît au pire vénielle. La recourante reste certes critiquable de ne pas s’être excusée après l’heure fixée pour cet entretien, en particulier dans le courant de la journée en question ou le lendemain. Son comportement ne tombe cependant pas sous le coup d’une des</w:t>
      </w:r>
    </w:p>
    <w:p>
      <w:r>
        <w:t>A/4253/2017 - 7/8 - clauses de l’art. 30 LACI, notamment ne saurait, dans le cas particulier, constituer une omission de faire tout ce qu’on peut raisonnablement exiger d’un assuré pour trouver un travail convenable au sens de la let. c de cette disposition, ni une inobservation des instructions de l’autorité compétente assimilable à celle que vise la let. d de cette disposition. Aussi n’était-il pas justifié de lui infliger une sanction, soit une suspension de son droit à l’indemnité de chômage. d. Subsidiairement, s’il fallait admettre que l’omission de s’excuser après l’heure d’un entretien de conseil représente une inobservation des instructions de l’autorité compétente couverte par l’art. 30 let. d LACI, il n’en faudrait pas moins considérer, au regard du principe de la proportionnalité, qu’une suspension du droit à l’indemnité de chômage ne se justifiait pas en l’espèce, compte tenu du très faible degré de la faute commise et du fait que – quand bien même une telle sanction avait déjà été prise à l’encontre de la recourante pour une durée de un jour quelques mois plus tôt, pour un autre motif – le dossier de la recourante atteste que cette dernière prenait et prend ses obligations de chômeuse et de bénéficiaire de prestations de façon générale très au sérieux (arrêt du Tribunal fédéral 8C_928/2014 du</w:t>
      </w:r>
    </w:p>
    <w:p>
      <w:r>
        <w:rPr>
          <w:b/>
        </w:rPr>
        <w:t>E. 5</w:t>
      </w:r>
    </w:p>
    <w:p>
      <w:r>
        <w:t>La procédure est gratuite (art. 61 let. a LPGA). Il n’y a pas lieu à allocation d’une indemnité de procédure, dès lors que la recourante a plaidé en personne et n’a pas fait valoir ni n’apparaît s’être trouvée dans la situation qu’elle a eu des frais particuliers liés à la procédure (art. 61 let. g LPGA). * * * * * *</w:t>
      </w:r>
    </w:p>
    <w:p>
      <w:r>
        <w:t>A/4253/2017 - 8/8 -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