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ATAS/369/2013 vom 16. April 2013</w:t>
      </w:r>
    </w:p>
    <w:p>
      <w:r>
        <w:t>GE Cour de justice, 2013-04-16, FR</w:t>
      </w:r>
    </w:p>
    <w:p>
      <w:r>
        <w:rPr>
          <w:b/>
        </w:rPr>
        <w:t xml:space="preserve">Quelle: </w:t>
      </w:r>
      <w:r>
        <w:t>https://mcp.opencaselaw.ch/entscheid/ge_gerichte_ATAS_369_2013</w:t>
      </w:r>
    </w:p>
    <w:p>
      <w:r>
        <w:t>FR: GE_GERICHTE ATAS/369/2013 du 16 avril 2013</w:t>
      </w:r>
    </w:p>
    <w:p>
      <w:r>
        <w:t>IT: GE_GERICHTE ATAS/369/2013 del 16 aprile 2013</w:t>
      </w:r>
    </w:p>
    <w:p>
      <w:pPr>
        <w:pStyle w:val="Heading2"/>
      </w:pPr>
      <w:r>
        <w:t>Erwägungen</w:t>
      </w:r>
    </w:p>
    <w:p>
      <w:r>
        <w:rPr>
          <w:b/>
        </w:rPr>
        <w:t>E. 15</w:t>
      </w:r>
    </w:p>
    <w:p>
      <w:r>
        <w:t>juillet au 15 août inclusivement; c) du 18 décembre au 2 janvier inclusivement ; Que la suspension des délais selon la LPA vaut pour les délais comptés par jours ou par mois, mais non pour les délais fixés par date ; que l’événement qui fait courir le délai peut survenir pendant la durée de la suspension ; que dans ce cas, le délai commence à courir le premier jour qui suit la fin de la suspension ; que pour calculer l’échéance du délai, on détermine d’abord la fin du délai en partant du jour de la communication, puis on ajoute le nombre de jours de suspension écoulés (ATF 131 V 314 consid. 4.6) ; Qu'en l'espèce, la décision litigieuse a été notifiée au recourant par courrier recommandé du 29 novembre 2012 ; que le pli a été retiré au guichet le 3 décembre 2012 ; Que le délai de recours a dès lors commencé à courir le 4 décembre 2012 et est parvenu à échéance le 18 janvier 2013, compte tenu de la suspension des délais du 18 décembre 2012 au 2 janvier 2013 inclus ; Que l'intéressé a déposé son recours le 26 février 2013, soit en dehors du délai légal ; Qu’en vertu de l’art. 16 al. 1 LPA, le délai légal ne peut être prolongé (cf. également art. 40 al. 1 LPGA) ; qu'il s'agit-là de dispositions impératives auxquelles il ne peut être dérogé (ATF 119 II 87 ; ATF 112 V 256)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 Que par empêchement non fautif, il faut entendre aussi bien l'impossibilité objective ou la force majeure que l'impossibilité due à des circonstances personnelles ou une erreur excusables ;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w:t>
      </w:r>
    </w:p>
    <w:p>
      <w:r>
        <w:t>A/712/2013 - 5/6 - Qu'en l'occurrence, dans son recours, l'intéressé invoque l'art. 153 de la loi sur l'assurance-chômage, et produit l'avis de taxation 2011, qu'il dit être une nouvelle pièce justificative ; qu'il ne fait toutefois pas état, ce faisant, d'une impossibilité à recourir au sens de l'art. 41 al. 1 LPGA ; que rien ne l'empêchait en effet de recourir en temps utile, quitte à produire ultérieurement des pièces complémentaires le cas échéant ; qu'au surplus, la pièce dont il se prévaut, bien que datée du 10 décembre 2012, était déjà en sa possession le 7 décembre 2012, date à laquelle il l'a transmise au DSE ; Que force est en conséquence de constater que l'intéressé n'invoque aucun motif justifiant une restitution du délai de recours ; que le recours, tardif, est irrecevable ;</w:t>
      </w:r>
    </w:p>
    <w:p>
      <w:r>
        <w:t>A/712/2013 - 6/6 -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