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ATAS/369/2005 vom 27. April 2005</w:t>
      </w:r>
    </w:p>
    <w:p>
      <w:r>
        <w:t>GE Cour de justice, 2005-04-27, FR</w:t>
      </w:r>
    </w:p>
    <w:p>
      <w:r>
        <w:rPr>
          <w:b/>
        </w:rPr>
        <w:t xml:space="preserve">Quelle: </w:t>
      </w:r>
      <w:r>
        <w:t>https://mcp.opencaselaw.ch/entscheid/ge_gerichte_ATAS_369_2005</w:t>
      </w:r>
    </w:p>
    <w:p>
      <w:r>
        <w:t>FR: GE_GERICHTE ATAS/369/2005 du 27 avril 2005</w:t>
      </w:r>
    </w:p>
    <w:p>
      <w:r>
        <w:t>IT: GE_GERICHTE ATAS/369/2005 del 27 aprile 2005</w:t>
      </w:r>
    </w:p>
    <w:p>
      <w:pPr>
        <w:pStyle w:val="Heading2"/>
      </w:pPr>
      <w:r>
        <w:t>Erwägungen</w:t>
      </w:r>
    </w:p>
    <w:p>
      <w:r>
        <w:rPr>
          <w:b/>
        </w:rPr>
        <w:t>E. 20</w:t>
      </w:r>
    </w:p>
    <w:p>
      <w:r>
        <w:t>En date du 7 mars 2001, l’assurée a formé recours contre la décision du 1er février 2001 (reçue le 5 février 2001) au motif que celle-ci n’avait pas tenu compte de l’ensemble des troubles de santé dont elle souffrait et conclu à l’octroi d’une rente entière basée sur un degré d’invalidité de 100%.</w:t>
      </w:r>
    </w:p>
    <w:p>
      <w:r>
        <w:rPr>
          <w:b/>
        </w:rPr>
        <w:t>E. 21</w:t>
      </w:r>
    </w:p>
    <w:p>
      <w:r>
        <w:t>Par courrier du 23 avril 2001, la recourante a sollicité le rétablissement de l’effet suspensif, demande à laquelle l’OCAI s’est opposé par préavis du 25 juin 2001.</w:t>
      </w:r>
    </w:p>
    <w:p>
      <w:r>
        <w:rPr>
          <w:b/>
        </w:rPr>
        <w:t>E. 22</w:t>
      </w:r>
    </w:p>
    <w:p>
      <w:r>
        <w:t>Par jugement incident du 5 juillet 2001, la Commission cantonale de recours AVS/AI (aujourd’hui le Tribunal cantonal des assurances sociales) a déclaré la requête irrecevable, au motif qu’elle n’avait pas été déposée dans le délai légal de 30 jours de la notification de la décision.</w:t>
      </w:r>
    </w:p>
    <w:p>
      <w:r>
        <w:t>Elle a par ailleurs suspendu l’instruction de la cause, un recours contre la décision sur opposition du 15 mai 2001 rendue par la SUVA ayant été interjeté auprès du Tribunal administratif.</w:t>
      </w:r>
    </w:p>
    <w:p>
      <w:r>
        <w:rPr>
          <w:b/>
        </w:rPr>
        <w:t>E. 23</w:t>
      </w:r>
    </w:p>
    <w:p>
      <w:r>
        <w:t>En date du 28 mai 2002, cette juridiction a rendu un arrêt dans lequel elle a jugé que le degré d’invalidité retenu par la SUVA ne prêtait pas le flanc à la critique. Cet arrêt a fait l’objet d’un recours au Tribunal fédéral des assurances. Celui-ci a confirmé l’arrêt du Tribunal administratif en date du 19 avril 2004.</w:t>
      </w:r>
    </w:p>
    <w:p>
      <w:r>
        <w:rPr>
          <w:b/>
        </w:rPr>
        <w:t>E. 24</w:t>
      </w:r>
    </w:p>
    <w:p>
      <w:r>
        <w:t>Invitée à faire part de ses observations suite à la reprise de l’instance, la recourante a fait valoir, par écriture du 26 août 2004, que ses atteintes étaient très invalidantes et devaient conduire à une invalidité de 100%, que les conclusions de l’expertise du Dr I__________ étaient manifestement erronées et contradictoires, que son état de santé s’était aggravé, étant précisé que le rapport médical le plus récent sur lequel l’appréciation de l’incapacité de travail était fondée datait de plus de 4 ans et qu’une expertise pluridisciplinaire permettrait, si besoin était, d’examiner et de confirmer le caractère invalidant de l’ensemble des nombreuses atteintes dont elle était victime. Elle a conclu à l’annulation de la décision dont était recours et, subsidiairement, à la mise sur pied d’une expertise multidisciplinaire.</w:t>
      </w:r>
    </w:p>
    <w:p>
      <w:r>
        <w:t>A/1419/2001 - 6/12 -</w:t>
      </w:r>
    </w:p>
    <w:p>
      <w:r>
        <w:rPr>
          <w:b/>
        </w:rPr>
        <w:t>E. 25</w:t>
      </w:r>
    </w:p>
    <w:p>
      <w:r>
        <w:t>A l’appui de ses allégués, la recourante a produit un rapport médical établi le 27 juillet 2004 par le Dr K__________ aux termes duquel la patiente se plaignait de douleurs cervicales lancinantes accompagnées de céphalées importantes, d’un problème de surdité partielle avec acouphènes pulsatiles stables et raccourcissement de la jambe droite. Ce médecin a conclu qu’il était difficile d’imaginer une reprise du travail avec les séquelles de céphalées, d’acouphènes et d’arthrose cervicale invalidante.</w:t>
      </w:r>
    </w:p>
    <w:p>
      <w:r>
        <w:rPr>
          <w:b/>
        </w:rPr>
        <w:t>E. 26</w:t>
      </w:r>
    </w:p>
    <w:p>
      <w:r>
        <w:t>Par courrier du 8 septembre 2004, l’OCAI a maintenu ses conclusions.</w:t>
      </w:r>
    </w:p>
    <w:p>
      <w:r>
        <w:rPr>
          <w:b/>
        </w:rPr>
        <w:t>E. 27</w:t>
      </w:r>
    </w:p>
    <w:p>
      <w:r>
        <w:t>En date du 23 mars 2005, la recourante a transmis au Tribunal une expertise rendue le 15 mars 2005, à sa demande, par le Dr L__________ selon lequel sa capacité de travail en qualité de secrétaire était de 50% et son incapacité de tenir son ménage de 50% également.</w:t>
      </w:r>
    </w:p>
    <w:p>
      <w:r>
        <w:rPr>
          <w:b/>
        </w:rPr>
        <w:t>E. 28</w:t>
      </w:r>
    </w:p>
    <w:p>
      <w:r>
        <w:t>Les documents ont été transmis à l’OCAI en date du 1er avril 2005 et l’affaire a été gardée à juger.</w:t>
      </w:r>
    </w:p>
    <w:p>
      <w:r>
        <w:t>Les autres éléments pertinents du dossier seront repris en tant que de besoin dans la partie en droit du présent arrêt.</w:t>
      </w:r>
    </w:p>
    <w:p>
      <w:r>
        <w:t>EN DROIT 1.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56 V al. 1 let. a ch. 2 LOJ, le Tribunal cantonal des assurances sociales connaît en instance unique des contestations prévues à l’article 56 LPGA qui sont relatives à la loi sur l’assurance-invalidité du 19 juin 1959. La cause a été transmise d’office au présent Tribunal dès le 1er août 2003, conformément à l’article 3, al. 3 de la loi du 14 novembre 2002 modifiant la loi sur l’organisation judiciaire (LOJ). Sa compétence pour juger du cas d’espèce est ainsi établie.</w:t>
      </w:r>
    </w:p>
    <w:p>
      <w:r>
        <w:t>A/1419/2001 - 7/12 - 3.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w:t>
      </w:r>
    </w:p>
    <w:p>
      <w:r>
        <w:t>4. Interjeté le 7 mars 2001 auprès de la Commission cantonale de recours, contre la décision du 1er février 2001 (reçue le 5 février 2005) de l’OCAI, le recours est recevable à la forme (cf. art. 84 al. 1 de la loi sur l’assurance vieillesse et survivants-LAVS et art. 69 de la loi sur l’assurance-invalidité - LAI). 5. L’objet du litige consiste à déterminer si c’est à bon droit que l’intimé a supprimé la rente de la recourante. 6. Aux termes de l’art. 41 LAI (teneur en vigueur jusqu’au 31 décembre 2002),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109 V 265 consid. 4a, 106 V 87 consid. 1a, 105 V 3 ; voir également ATF 112 V 372 consid. 2b et 390 consid. 1b). Si la capacité de travail ou de gain d’un assuré s’améliore, les prestations seront adaptées, à savoir diminuées ou supprimées, en fonction de cette amélioration. Selon l’art. 88a du règlement sur l’assurance-invalidité (RAI), la modification interviendra dès qu’on peut s’attendre à ce que l’amélioration constatée se maintienne durant une assez longue période. Il en va de même, lorsqu’un tel changement déterminant a duré trois mois déjà sans interruption notable et sans qu’une complication prochaine soit à craindre. La diminution ou la suppression de la rente prendra effet le premier jour du deuxième mois qui suit la notification de la décision.</w:t>
      </w:r>
    </w:p>
    <w:p>
      <w:r>
        <w:t>A/1419/2001 - 8/12 - 7. Pour pouvoir apprécier le degré d’invalidité, l’administration (ou le juge s’il y a recours)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qu’enfin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L’expertise doit donc être fondée sur une documentation complète et des diagnostics précis, être concluante grâce à une discussion convaincante de la causalité, et apporter des réponses exhaustives et sans équivoques aux questions posées. Cela dit, elle doit être compréhensible, concluante et ne pas trancher des points de droit.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affirme les conclusions de manière convaincante. En outre, lorsque d’autres spécialistes émettent des opinions contraires aptes à mettre sérieusement en doute la pertinence des déductions de l’expert, l’on ne peut exclure, selon les cas, une interprétation divergente des conclusions de ce dernier par le juge ou, au besoin une instruction complémentaire sous la forme d’une nouvelle expertise médicale (ATF 118 V 290 consid. 1b ; 112 V 32ss et les références).</w:t>
      </w:r>
    </w:p>
    <w:p>
      <w:r>
        <w:t>A/1419/2001 - 9/12 - En dernier lieu, il sied de rappeler que, selon la jurisprudence constante, il y a lieu d’attacher plus d’importance aux constatations faites par les spécialistes qu’à l’appréciation faite par le médecin traitant (RCC 1988 p. 504). 10. En l’espèce, tous les examens utiles ont été entrepris et toutes les appréciations nécessaires ont été versées au dossier. Par ailleurs, aucun indice concret, aucun motif concluant ne permet de s’écarter des conclusions de l’expertise du Dr I__________. Appelé à se prononcer sur d'éventuelles séquelles au plan neuropsychologique, l’expert a réalisé une série de tests et procédé à un examen clinique de l'assurée qu'il a complété par une IRM cérébrale. Sur la base des résultats obtenus, il a retenu le diagnostic de céphalées post-traumatiques mixtes, de discrète dysfonction cervicale, d'encéphalopathie post-traumatique légère caractérisée par un ralentissement dans quelques tâches exécutives et des difficultés de mémoire verbale (court et long terme), ainsi que de syndrome de stress post- traumatique et dépression secondaire. Eu égard surtout aux céphalées dont se plaignait l’intéressée, il a estimé qu'une activité dans le domaine administratif était exigible à 80 % au plus, en précisant que ce taux d'activité permettrait de diminuer les conséquences quotidiennes d'une attention soutenue. Cette appréciation émane d'un spécialiste reconnu et repose sur des investigations complètes. Il n’existe aucune contradiction entre les conclusions de l'expert et le diagnostic qu'il a posé. D'autre part, aucune autre pièce médicale au dossier ne vient contredire son rapport d'expertise. En l’absence d’éléments permettant de mettre en doute ses conclusions et dans la mesure où ce rapport répond à toutes les exigences jurisprudentielles en la matière, il y a lieu de lui reconnaître pleine valeur probante et d’admettre qu’il y a une amélioration de l’état de santé dans une mesure permettant à la recourante de travailler à 80% dans son activité de secrétaire. Il n’y a d’autre part pas d’autres atteintes à la santé que celles découlant de l’accident. 11. La notion d'invalidité utilisée dans l'assurance-invalidité correspond en principe à celle retenue dans l'assurance-accidents obligatoire, raison pour laquelle l'évaluation de l'invalidité, même si elle doit être faite de manière indépendante dans chaque branche d'assurance, doit normalement conduire au même résultat lorsque l'atteinte à la santé est la même. Selon la jurisprudence du Tribunal fédéral des assurances, il faut chercher à éviter que l'invalidité d'une même personne soit évaluée à des degrés différents par les divers assureurs qui s'occupent de son cas. Des évaluations de l'invalidité entrées en force ne sauraient être purement ignorées mais doivent au contraire être considérées comme un indice pour une évaluation fiable et être incluses en tant que telles dans le processus de décision de l'assureur qui ne se prononce que plus tard (VSI I/2001 p. 79ss). L’uniformité de la notion d’invalidité doit conduire à fixer, pour une même atteinte à la santé, un même taux d’invalidité, aucune priorité ne pouvant être</w:t>
      </w:r>
    </w:p>
    <w:p>
      <w:r>
        <w:t>A/1419/2001 - 10/12 - accordée à l’un des assureurs sociaux (ATF 119 V 468 consid.3 p. 471 ; RAMA 1995 p. 108 in fine).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Une appréciation divergente peut intervenir à titre exceptionnel si certaines conditions sont réalisées. En particulier, peuvent constituer des motifs suffisants de s’écarter de l’évaluation effectuée par l’autre assureur le fait que celle-ci repose sur une erreur de droit ou sur une appréciation insoutenable ou encore qu’elle résulte d’une simple transaction conclue avec l’assuré. A ces motifs de divergence déjà reconnus par la jurisprudence, il faut ajouter des mesures d’instruction extrêmement limitées ou superficielles, ainsi qu’une évaluation pas du tout convaincante ou entachée d’inobjectivité (ATF 126V 293 consid. 2d ; VSI 2004 p. 185 consid 3). 12. En l’occurrence, c’est après étude des rapports médicaux et expertises figurant au dossier que l'OCAI s'est aligné sur la décision de la SUVA et a admis une diminution de la capacité de gain de l'ordre de 20 % en l'absence, d’une part, de motifs lui permettant de douter de la justesse de l'évaluation déjà existante de l'invalidité et, d’autre part, d'éléments nouveaux survenus depuis la décision du 6 octobre 2000 (SUVA). En d’autres termes, c’est sur la base de la situation de fait existante au 1er février 2001 que l’OCAI a rendu la décision dont est recours.</w:t>
      </w:r>
    </w:p>
    <w:p>
      <w:r>
        <w:t>Il convient de rappeler que lorsque l'OCAI a rendu la décision attaquée du 1er février 2001 et qu'il a retenu un degré d'invalidité de 20%, la décision de l'assurance-accidents du 6 octobre 2000 sur l'évaluation de l'invalidité n’était pas entrée en force puisque ladite décision a fait l’objet d’une décision sur opposition puis d’un recours auprès du Tribunal administratif, puis du Tribunal fédéral des assurances (TFA). Cette évaluation du degré d’invalidité de la recourante a depuis lors été confirmée tant par le Tribunal administratif que par le TFA (Arrêt du 19 avril 2004 dans la cause U 212/ 02). Une instruction médicale complémentaire ne se justifie pas au vu du dossier médical très complet, ainsi que le TFA l’a définitivement tranché. 13. Cela étant, considérant que la recourante avait un statut mixte, l’OCAI a également pris en considération une invalidité de 20 à 25% s’agissant des tâches ménagères (cf note du 22 novembre du Dr J__________). En effet, il sied de rappeler qu’avant l’accident, la recourante travaillait à temps partiel car elle espérait la venue d’un enfant. Certes, elle a déclaré qu’elle aurait repris un travail à plein temps lorsque son enfant aurait atteint l’âge de 3 ans (soit en</w:t>
      </w:r>
    </w:p>
    <w:p>
      <w:r>
        <w:t>A/1419/2001 - 11/12 - octobre 2001). Cette allégation apparaît toutefois peu vraisemblable, ce que confortent le fait qu’elle a, depuis mai 1991, toujours travaillé à mi-temps ainsi que la naissance d’un second enfant en 2003. L’évaluation de l’invalidité selon la méthode dite mixte s’effectue de la manière suivante : E = travail fourni par les assurés non invalide en heures par semaine IE = handicap rencontré en pour cent EZ = durée du travail normale à plein temps en heures par semaine H = handicap rencontré dans le ménage Soit en l’espèce : E x IE + ([EZ-E]) x H __________________________ = Taux d’invalidité en pour cent</w:t>
      </w:r>
    </w:p>
    <w:p>
      <w:r>
        <w:t>EZ</w:t>
      </w:r>
    </w:p>
    <w:p>
      <w:r>
        <w:t>(20 x 20%) + ([42-20] x 25%) ____________________________ = 22 %</w:t>
      </w:r>
    </w:p>
    <w:p>
      <w:r>
        <w:t>42</w:t>
      </w:r>
    </w:p>
    <w:p>
      <w:r>
        <w:t>Ainsi, que l'on se réfère à l'évaluation faite par la CNA ou par l'OCAI, le taux d'invalidité retenu ne donnerait plus droit à une rente de l’assurance invalidité. C’est dès lors à bon droit que l’intimée a supprimé toutes prestations dès le 1er avril 2001, conformément à l’article 88 bis alinéa 2 let a RAI. 14. En ce qui concerne les faits nouveaux allégués par la recourante survenus postérieurement à la décision du 1er février 2001, ainsi que les pièces et diagnostics établis ultérieurement à la décision incriminée, ils ne sauraient être pris en considération dans la présente procédure, mais relèvent d'une procédure en révision que l'OCAI examinera. 15. Eu égard aux considérations qui précèdent, mal fondé, le recours doit être rejeté.</w:t>
      </w:r>
    </w:p>
    <w:p>
      <w:r>
        <w:t>A/1419/2001 - 12/12 -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