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ATAS/368/2019 vom 24. April 2019</w:t>
      </w:r>
    </w:p>
    <w:p>
      <w:r>
        <w:t>GE Cour de justice, 2019-04-24, FR</w:t>
      </w:r>
    </w:p>
    <w:p>
      <w:r>
        <w:rPr>
          <w:b/>
        </w:rPr>
        <w:t xml:space="preserve">Quelle: </w:t>
      </w:r>
      <w:r>
        <w:t>https://mcp.opencaselaw.ch/entscheid/ge_gerichte_ATAS_368_2019</w:t>
      </w:r>
    </w:p>
    <w:p>
      <w:r>
        <w:t>FR: GE_GERICHTE ATAS/368/2019 du 24 avril 2019</w:t>
      </w:r>
    </w:p>
    <w:p>
      <w:r>
        <w:t>IT: GE_GERICHTE ATAS/368/2019 del 24 aprile 2019</w:t>
      </w:r>
    </w:p>
    <w:p>
      <w:pPr>
        <w:pStyle w:val="Heading2"/>
      </w:pPr>
      <w:r>
        <w:t>Erwägungen</w:t>
      </w:r>
    </w:p>
    <w:p>
      <w:r>
        <w:rPr>
          <w:b/>
        </w:rPr>
        <w:t>E. 18</w:t>
      </w:r>
    </w:p>
    <w:p>
      <w:r>
        <w:t>À teneur de son rapport du 15 décembre 2017, l’experte a fondé son rapport sur les pièces du dossier, son anamnèse et l’examen clinique de l’expertisé ainsi que sur des entretiens téléphoniques avec son médecin traitant. Elle a posé les diagnostics somatiques de : - cirrhose hépatique d’origine éthylique depuis 2014, child A, avec varices œsophagiennes, hypertension portale ; - cardiopathie ischémique avec infarctus NSTEMI en 2014, akinésie et hypokinésie inférieure, fraction d’éjection 45-50% ; - diabète de type II depuis 2015, non insulino requérant ; - thrombopénie depuis 2015 ; - anémie depuis 2016 ; - bronchopneumopathie obstructive chronique de degré modéré, partiellement réversible, avec trouble de la diffusion ; - insuffisance veineuse des membres inférieurs stade II ; - polyneuropathie d’origine métabolique et toxique ; - obésité stade I. Selon l’experte, la santé de l’expertisé s’était considérablement dégradée depuis 2014. Il cumulait les complications de médecine interne, nécessitant deux à trois séjours hospitaliers par année, cumulant plus de trente jours d’hospitalisation par</w:t>
      </w:r>
    </w:p>
    <w:p>
      <w:r>
        <w:t>A/2409/2016 - 5/10 - année. La fatigue était expliquée par les éléments conjugués suivants : anémie, cirrhose, insuffisance cardiaque, bronchopneumopathie chronique obstructive. Il avait besoin de plus de douze médicaments par jour pour maintenir la fonction de ses organes. Cela se répercutait sur sa vie quotidienne, puisqu’il avait besoin de l’aide de ses proches pour les tâches ménagères et des infirmières pour gérer son traitement. Il éprouvait des difficultés à gérer sa propre santé : des examens médicaux n’étaient pas effectués (cardiologie, pneumologie, ophtalmologie), des factures de médecins n’étaient pas payées et il n’ouvrait pas toujours la porte aux infirmières de l’IMAD alors qu’il en avait besoin pour gérer ses médicaments. Sa capacité de travail était évaluée de 50% dans une activité sédentaire avec un rendement normal dès 2014. Une expertise psychiatrique était recommandée.</w:t>
      </w:r>
    </w:p>
    <w:p>
      <w:r>
        <w:rPr>
          <w:b/>
        </w:rPr>
        <w:t>E. 19</w:t>
      </w:r>
    </w:p>
    <w:p>
      <w:r>
        <w:t>Le 10 octobre 2018, la chambre de céans a ordonné une expertise psychiatrique qu’elle a confiée au docteur I______, spécialiste FMH en psychiatrie et psychothérapie.</w:t>
      </w:r>
    </w:p>
    <w:p>
      <w:r>
        <w:rPr>
          <w:b/>
        </w:rPr>
        <w:t>E. 20</w:t>
      </w:r>
    </w:p>
    <w:p>
      <w:r>
        <w:t>À teneur de son rapport du 20 février 2019, l’expert psychiatre a retenu les diagnostics de trouble dépressif récurrent, épisode actuel sévère, sans symptômes psychotiques; troubles mentaux et du comportement lié à l’usage d’alcool à visée anxiolytique et d’hypnotiques; trouble de la personnalité mixte dyssociale et narcissique; idéation rigide et parfois inadaptée, comportement impulsif, voire abusif, faisant penser à une modification durable de la personnalité; altérations cognitives des fonctions exécutives et de la mémoire en particulier d’étiologie toxique encore en cours d’investigation. L’expertisé était dépendant. Au vu de l’anamnèse, du tableau clinique et de l’évolution thérapeutique, il ne s’agissait pas d’un alcoolisme primaire. L’expertisé présentait d’importants troubles du comportement, des mécanismes de défense archaïques et une altération grave de la personnalité antérieur à l’émergence et l’installation d’une dépendance alcoolique ou de substances toxiques. Sa dépendance avait entraîné des dépressions majeures récidivantes avec déni, impulsivité et troubles du comportement sévères, des maladies somatiques multiples, chroniques et des accidents. Ces affections étaient en partie la conséquence directe de la consommation de produits psychotropes. La dépendance alcoolique ainsi que les dépendances annexes (cocaïne) que l’expertisé avait présentées avaient fatalement affaibli, tant cognitivement que thymiquement, ses capacités de résolution de problèmes et de choix et ses motivations au changement. Cette dépendance résultait elle-même d’une atteinte à la santé mentale ayant valeur de maladie. Les atteintes psychiques préexistantes à la dépendance étaient le trouble grave de la personnalité et le trouble dépressif récurrent. L’incapacité de travail était complète à 100% depuis l’été 2014. L’expertisé évoluait très négativement tant sur le plan somatique que psychologique avec une accélération ces deux dernières années. Il existait une claire synergie entre ces deux niveaux et la symptomatologie somatique était actuellement au premier plan.</w:t>
      </w:r>
    </w:p>
    <w:p>
      <w:r>
        <w:rPr>
          <w:b/>
        </w:rPr>
        <w:t>E. 21</w:t>
      </w:r>
    </w:p>
    <w:p>
      <w:r>
        <w:t>Le 1er mars 2019, le recourant a indiqué qu’il était d’accord avec les conclusions du Dr I______.</w:t>
      </w:r>
    </w:p>
    <w:p>
      <w:r>
        <w:t>A/2409/2016 - 6/10 -</w:t>
      </w:r>
    </w:p>
    <w:p>
      <w:r>
        <w:rPr>
          <w:b/>
        </w:rPr>
        <w:t>E. 22</w:t>
      </w:r>
    </w:p>
    <w:p>
      <w:r>
        <w:t>Le 1er avril 2019, l’intimée a informé la chambre de céans, sur la base d’un avis du SMR du 26 mars 2019, qu’il considérait que le rapport d’expertise du Dr I______ pouvait se voir accorder valeur probante. Il fallait en conséquence retenir une incapacité de travail totale du recourant dans toute activité depuis le mois de juin 2014.</w:t>
      </w:r>
    </w:p>
    <w:p>
      <w:r>
        <w:rPr>
          <w:b/>
        </w:rPr>
        <w:t>E. 23</w:t>
      </w:r>
    </w:p>
    <w:p>
      <w:r>
        <w:t>Sur ce, la cause a été gardée à juger.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 délai et la forme requise, le recours est recevable (art. 60 LPGA et 89B de la loi sur la procédure administrative du 12 septembre 1985; LPA - E 5 10). 3. Le litige porte sur le droit du recourant à des prestations de l'assurance-invalidité.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w:t>
      </w:r>
    </w:p>
    <w:p>
      <w:r>
        <w:t>A/2409/2016 - 7/10 -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A/2409/2016 - 8/10 - un élément utile pour déterminer quels travaux on peut encore, raisonnablement, exiger de l'assuré (ATF 125 V 256 consid. 4 et les références).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6. En l'espèce, sur la base des conclusions des experts qui emportent conviction, il convient de retenir que le recourant est totalement incapable de travailler depuis l’été 2014 pour cause de maladie, ce qui n’est pas contesté par les parties. 7. 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rente est versée dès le début du mois au cours duquel le droit prend naissance (art. 29 al. 3 LAI). 8.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9. En l’espèce, le recourant étant totalement incapable de travailler dès l’été 2014, son droit à une rente entière d’invalidité est né dès l’été 2015 au plus tôt. Sa demande de prestations datant du 24 juin 2015, il a droit au versement de la rente six mois</w:t>
      </w:r>
    </w:p>
    <w:p>
      <w:r>
        <w:t>A/2409/2016 - 9/10 - plus tard, dès le 1er jour du mois durant lequel son droit prend naissance, soit dès le 1er décembre 2015. 10. Il se justifie en l’espèce de mettre à la charge de l’intimé les frais des expertises, dès lors qu’il a procédé à une instruction manifestement insuffisante du cas. En effet, il aurait dû faire procéder à une appréciation globale incluant les causes et les conséquences de la dépendance du recourant et l’interaction entre celle-ci et la comorbidité psychiatrique (ATF 137 V 210 consid. 4.4.2). 11. Au vu de ce qui précède, le recours sera admis, la décision du 16 juin 2016 annulée et il sera dit que le recourant a droit à une rente entière d’invalidité dès le 1er décembre 2015. 12. Il ne sera pas alloué d’indemnité de procédure au recourant qui n'était pas représenté et n’a pas fait valoir de frais engendrés par la procédure (art. 61 let. g LPGA). 13. Un émolument de CHF 500.- sera mis à la charge de l’intimé (art. 69 al. 1bis LAI).</w:t>
      </w:r>
    </w:p>
    <w:p>
      <w:r>
        <w:t>A/2409/2016 - 10/10 -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