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ATAS/368/2010 vom 23. März 2010</w:t>
      </w:r>
    </w:p>
    <w:p>
      <w:r>
        <w:t>GE Cour de justice, 2010-03-23, FR</w:t>
      </w:r>
    </w:p>
    <w:p>
      <w:r>
        <w:rPr>
          <w:b/>
        </w:rPr>
        <w:t xml:space="preserve">Quelle: </w:t>
      </w:r>
      <w:r>
        <w:t>https://mcp.opencaselaw.ch/entscheid/ge_gerichte_ATAS_368_2010</w:t>
      </w:r>
    </w:p>
    <w:p>
      <w:r>
        <w:t>FR: GE_GERICHTE ATAS/368/2010 du 23 mars 2010</w:t>
      </w:r>
    </w:p>
    <w:p>
      <w:r>
        <w:t>IT: GE_GERICHTE ATAS/368/2010 del 23 marzo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demande de prestation a été formée le 5 septembre 2008 et la décision litigieuse date du 26 février 2009. Par conséquent, d’un point de vue matériel, le droit éventuel à une rente d’invalidité doit être examiné au regard des nouvelles normes de la LPGA et des modifications de la LAI consécutives à la 4ème révision de cette loi, entrées en vigueur le 1er janvier 2004 et des modifications de la LAI consécutives à la 5ème révision entrées en vigueur le 1er janvier 2008, dans la mesure de leur pertinence (ATF 130 V 445 et les références, voir également ATF 130 V 329).</w:t>
      </w:r>
    </w:p>
    <w:p>
      <w:r>
        <w:rPr>
          <w:b/>
        </w:rPr>
        <w:t>E. 3</w:t>
      </w:r>
    </w:p>
    <w:p>
      <w:r>
        <w:t>Déposé dans les formes et délai prévus par la loi, le présent recours est recevable (art. 56 à 61 LPGA).</w:t>
      </w:r>
    </w:p>
    <w:p>
      <w:r>
        <w:rPr>
          <w:b/>
        </w:rPr>
        <w:t>E. 4</w:t>
      </w:r>
    </w:p>
    <w:p>
      <w:r>
        <w:t>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b) La plupart des éventualités assurées (par exemple la maladie, l’accident, l’incapacité de travail, l’invalidité, l’atteinte à l’intégrité physique ou mentale)</w:t>
      </w:r>
    </w:p>
    <w:p>
      <w:r>
        <w:t>A/987/2009 - 7/9 -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d)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w:t>
      </w:r>
    </w:p>
    <w:p>
      <w:r>
        <w:rPr>
          <w:b/>
        </w:rPr>
        <w:t>E. 5</w:t>
      </w:r>
    </w:p>
    <w:p>
      <w:r>
        <w:t>En l’espèce, le rapport d’évaluation PRO du 23 septembre 2009 a mis en exergue d’importantes limitations fonctionnelles de l’assuré, lesquelles correspondent aux indications médicales du médecin traitant de l’assuré et du Dr D__________, de sorte qu’il s’avère que l’aspect médical du dossier n’a pas suffisamment été investigué par l’OAI, avant la décision litigieuse du 26 février 2009.</w:t>
      </w:r>
    </w:p>
    <w:p>
      <w:r>
        <w:t>C’est donc à juste titre que l’OAI propose de procéder à un complément d’instruction médicale par une expertise rhumatologique.</w:t>
      </w:r>
    </w:p>
    <w:p>
      <w:r>
        <w:t>En effet, l’incapacité de travail et l’invalidité en résultant ne peuvent pas se fonder sur un rapport d’évaluation lors d’un stage d’observation, mais doivent être objectivement établies sur la base de données médicales.</w:t>
      </w:r>
    </w:p>
    <w:p>
      <w:r>
        <w:t>A/987/2009 - 8/9 -</w:t>
      </w:r>
    </w:p>
    <w:p>
      <w:r>
        <w:t>Dans le cas d’espèce cependant, et au vu des divers rapports médicaux produits, ainsi que de la situation auprès de l’assurance-chômage, il serait utile que, parallèlement à l’expertise rhumatologique, mais sans attendre l’issue de cette dernière, l’Office AI, ou l’assurance-chômage, assiste l’assuré, par une aide au placement concrète, dans ses recherches d’emploi, pour l’instant à temps partiel et dans une activité légère.</w:t>
      </w:r>
    </w:p>
    <w:p>
      <w:r>
        <w:rPr>
          <w:b/>
        </w:rPr>
        <w:t>E. 6</w:t>
      </w:r>
    </w:p>
    <w:p>
      <w:r>
        <w:t>Le recours sera ainsi partiellement admis, et la cause renvoyée à l’OAI pour complément d’instruction, soit une expertise rhumatologique.</w:t>
      </w:r>
    </w:p>
    <w:p>
      <w:r>
        <w:rPr>
          <w:b/>
        </w:rPr>
        <w:t>E. 7</w:t>
      </w:r>
    </w:p>
    <w:p>
      <w:r>
        <w:t>Compte tenu de l’issue du litige, un émolument minimum de 200 fr. est mis à charge de l’OAI.</w:t>
      </w:r>
    </w:p>
    <w:p>
      <w:r>
        <w:t>A/987/2009 - 9/9 -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