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ATAS/367/2021 vom 13. April 2021</w:t>
      </w:r>
    </w:p>
    <w:p>
      <w:r>
        <w:t>GE Cour de justice, 2021-04-13, FR</w:t>
      </w:r>
    </w:p>
    <w:p>
      <w:r>
        <w:rPr>
          <w:b/>
        </w:rPr>
        <w:t xml:space="preserve">Quelle: </w:t>
      </w:r>
      <w:r>
        <w:t>https://mcp.opencaselaw.ch/entscheid/ge_gerichte_ATAS_367_2021</w:t>
      </w:r>
    </w:p>
    <w:p>
      <w:r>
        <w:t>FR: GE_GERICHTE ATAS/367/2021 du 13 avril 2021</w:t>
      </w:r>
    </w:p>
    <w:p>
      <w:r>
        <w:t>IT: GE_GERICHTE ATAS/367/2021 del 13 aprile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droit de la recourante à l’indemnité de chômage.</w:t>
      </w:r>
    </w:p>
    <w:p>
      <w:r>
        <w:rPr>
          <w:b/>
        </w:rPr>
        <w:t>E. 3</w:t>
      </w:r>
    </w:p>
    <w:p>
      <w:r>
        <w:t>L’assuré a droit à l’indemnité de chômage s’il est sans emploi ou partiellement sans emploi (art. 8 al. 1 et 10 de la loi fédérale sur l’assurance-chômage obligatoire et l’indemnité en cas d’insolvabilité du 25 juin 1982 (loi sur l’assurance-chômage, LACI - RS 837.0)) et s’il a subi une perte de travail à prendre en considération (art. 11 LACI).</w:t>
      </w:r>
    </w:p>
    <w:p>
      <w:r>
        <w:rPr>
          <w:b/>
        </w:rPr>
        <w:t>E. 4</w:t>
      </w:r>
    </w:p>
    <w:p>
      <w:r>
        <w:t>La jurisprudence considère, par ailleurs,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cité).</w:t>
      </w:r>
    </w:p>
    <w:p>
      <w:r>
        <w:rPr>
          <w:b/>
        </w:rPr>
        <w:t>E. 5</w:t>
      </w:r>
    </w:p>
    <w:p>
      <w:r>
        <w:t>À teneur de l’art. 31 al. 1 LACI, les travailleurs dont la durée normale de travail est réduite ou l’activité suspendue ont droit à l’indemnité en cas de réduction de l’horaire de travail lorsqu’ils remplissent les conditions décrites aux lettres a à d dudit article.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w:t>
      </w:r>
    </w:p>
    <w:p>
      <w:r>
        <w:t>A/2420/2020 - 4/6 - d’une participation financière de l’entreprise; il en va de même des conjoints de ces personnes, qui sont occupés dans l’entreprise (art. 31 al. 3 let. b et c LACI).</w:t>
      </w:r>
    </w:p>
    <w:p>
      <w:r>
        <w:rPr>
          <w:b/>
        </w:rPr>
        <w:t>E. 6</w:t>
      </w:r>
    </w:p>
    <w:p>
      <w:r>
        <w:t>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C 267/04 du 3 avril 2006, in DTA 2007 p. 115 et C 373/00 du 19 mars 2002, in DTA 2002 p. 183 ; cf. également arrêt C 180/06 du 16 avril 2007, in SVR 2007 AlV no 21 p. 69). Demeurent réservés les cas dans lesquels une procédure de faillite a été suspendue faute d’actifs, une reprise d’une activité de la société et le réengagement de l’intéressé pouvant alors être exclus (arrêt 8C_415/2008 du 23 janvier 2009 consid. 3.2).</w:t>
      </w:r>
    </w:p>
    <w:p>
      <w:r>
        <w:rPr>
          <w:b/>
        </w:rPr>
        <w:t>E. 7</w:t>
      </w:r>
    </w:p>
    <w:p>
      <w:r>
        <w:t>En l’espèce, lors de la fin de son contrat de travail, l’époux de la recourante était l’administrateur de la société B______ SA, ainsi d’ailleurs que des sociétés B______ II Sàrl et E______SA en liquidation. Quand bien même B______ SA connaissait des difficultés financières et avait adressé un « dépôt de bilan - déclaration de faillite » au Tribunal civil le 5 mars 2020, elle n’avait pas encore été liquidée et sa faillite n’avait pas été prononcée.</w:t>
      </w:r>
    </w:p>
    <w:p>
      <w:r>
        <w:rPr>
          <w:b/>
        </w:rPr>
        <w:t>E. 8</w:t>
      </w:r>
    </w:p>
    <w:p>
      <w:r>
        <w:t>L’époux de la recourante, alors administrateur de la société, se trouvait dans une position assimilable à celle d’un employeur lors de la fin du contrat de travail de son épouse. Le fait que l’époux de la recourante n’était pas propriétaire de la société appartenant à son père mais uniquement l’administrateur inscrit au registre du commerce n’y change rien et ce d’autant moins que M. D______ avait précisément été nommé administrateur de la société, en raison de problèmes de santé de M. C______, selon les explications de la recourante. Il gérait une autre société B______ II Sàrl dont le but était identique à Neuchâtel et était administrateur de la société E______SA en liquidation, en raison des problèmes de santé de son propriétaire M. C______, de sorte qu’il était le réel gestionnaire de ces sociétés et le seul à pouvoir influencer leurs décisions. En toute hypothèse, en sa qualité d’administrateur, il disposait de ce pouvoir de par la loi s’agissant de B______ SA. La situation a perduré jusqu’à la clôture de la faillite faute d’actifs le</w:t>
      </w:r>
    </w:p>
    <w:p>
      <w:r>
        <w:t>A/2420/2020 - 5/6 - 15 décembre 2020, soit bien au-delà de la date à laquelle la décision sur opposition a été rendue le 24 juillet 2020. C’est à raison que l’intimée a constaté que la société n’était pas définitivement fermée lors de l’inscription de la recourante au chômage, la liquidation n’ayant été prononcée que bien plus tard. La recourante ne pouvait ainsi pas prétendre à des indemnités de chômage.</w:t>
      </w:r>
    </w:p>
    <w:p>
      <w:r>
        <w:rPr>
          <w:b/>
        </w:rPr>
        <w:t>E. 9</w:t>
      </w:r>
    </w:p>
    <w:p>
      <w:r>
        <w:t>La décision de l’intimée doit être confirmée.</w:t>
      </w:r>
    </w:p>
    <w:p>
      <w:r>
        <w:rPr>
          <w:b/>
        </w:rPr>
        <w:t>E. 10</w:t>
      </w:r>
    </w:p>
    <w:p>
      <w:r>
        <w:t>Le recours sera rejeté.</w:t>
      </w:r>
    </w:p>
    <w:p>
      <w:r>
        <w:rPr>
          <w:b/>
        </w:rPr>
        <w:t>E. 11</w:t>
      </w:r>
    </w:p>
    <w:p>
      <w:r>
        <w:t>La procédure est gratuite. * * * * * *</w:t>
      </w:r>
    </w:p>
    <w:p>
      <w:r>
        <w:t>A/2420/2020 - 6/6 -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