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ATAS/367/2015 vom 19. Mai 2015</w:t>
      </w:r>
    </w:p>
    <w:p>
      <w:r>
        <w:t>GE Cour de justice, 2015-05-19, FR</w:t>
      </w:r>
    </w:p>
    <w:p>
      <w:r>
        <w:rPr>
          <w:b/>
        </w:rPr>
        <w:t xml:space="preserve">Quelle: </w:t>
      </w:r>
      <w:r>
        <w:t>https://mcp.opencaselaw.ch/entscheid/ge_gerichte_ATAS_367_2015</w:t>
      </w:r>
    </w:p>
    <w:p>
      <w:r>
        <w:t>FR: GE_GERICHTE ATAS/367/2015 du 19 mai 2015</w:t>
      </w:r>
    </w:p>
    <w:p>
      <w:r>
        <w:t>IT: GE_GERICHTE ATAS/367/2015 del 19 maggio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w:t>
      </w:r>
    </w:p>
    <w:p>
      <w:r>
        <w:t>A/3044/2014 - 6/13 -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l’assurée à des prestations AI, et plus particulièrement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t>A/3044/2014 - 7/13 -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w:t>
      </w:r>
    </w:p>
    <w:p>
      <w:r>
        <w:t>A/3044/2014 - 8/13 -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Il y a enfin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En vertu de l’art. 29 LAI,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(al. 1er). Le droit ne prend pas naissance tant que l’assuré peut faire valoir son droit à une indemnité journalière au sens de l’art. 22 LAI (al. 2). La rente est versée dès le début du mois au cours duquel le droit prend naissance (al. 3).</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A/3044/2014 - 9/13 -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A/3044/2014 - 10/13 -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l’OAI a confié au Dr C______ le mandat d’examiner l’assurée. La chambre de céans constate que le rapport d’expertise du Dr C______ établi le 26 mai 2014 comporte une anamnèse personnelle, socio-professionnelle et familiale détaillée, un historique médical, et relate les plaintes et descriptions subjectives de la recourante. L’expert a procédé à une analyse complète du dossier. Il a expliqué les raisons pour lesquelles il ne retenait qu'une alcoolodépendance primaire et écartait le trouble dépressif posé par le médecin traitant. Aussi son expertise a-t-elle valeur probante. Il a conclu à une capacité de travail de 100% dans toute activité, à la date de son expertise.</w:t>
      </w:r>
    </w:p>
    <w:p>
      <w:r>
        <w:rPr>
          <w:b/>
        </w:rPr>
        <w:t>E. 10</w:t>
      </w:r>
    </w:p>
    <w:p>
      <w:r>
        <w:t>Reste à examiner si les rapports du médecin traitant, et son audition, permettraient de s'écarter des conclusions de l'expertise. Il y a préalablement lieu de relever que ces rapports divergent sensiblement de celles-ci. Il sied de rappeler à ce stade que, selon l'expérience, le médecin traitant est généralement enclin, en cas de doute, à prendre parti pour son patient en raison de la relation de confiance qui l'unit à ce dernier (ATF 125 V 351 consid. 3b/cc). Selon l’expert, « les troubles anxio-dépressif mentionnés, d’une part, par la patiente pour la période 2005 et 2006, d’autre part, par son médecin traitant dès 2010, ne peuvent pas suffire à « construire un alcoolisme secondaire ». Le médecin traitant se borne à déclarer en effet que « pour diminuer son anxiété, elle a probablement commencé une consommation d’alcool excessive suite à son divorce », sans autre précision. Entendue par la chambre de céans le 17 février 2015, elle a précisé que « J’ai pris connaissance du rapport d’expertise du Dr C______. Je ne partage pas son avis quant à la qualification primaire de l’alcoolisme. Je rappelle en effet que ma patiente a eu un début de vie difficile, puis un divorce difficile. Les liens avec sa famille ont été un peu plus proches à un moment donné. La maman est décédée en 2011, et l’une des sœurs avec laquelle elle s’était plus particulièrement rapprochée, l’a rejetée. Il y a eu très nettement une augmentation de la consommation d’alcool. Dans un premier temps, j’ai pu constater un déni de cette consommation. Il est difficile pour ma patiente de s’ouvrir. Pour moi, elle est en grande souffrance. Je lui ai à plusieurs reprises recommandé de consulter un psychiatre. Elle s’y est à chaque fois opposé, pensant qu’elle « n’en vaut pas la peine ». Sa consommation est très importante. Le CDT permet d’évaluer la consommation chronique d’alcool. Il est</w:t>
      </w:r>
    </w:p>
    <w:p>
      <w:r>
        <w:t>A/3044/2014 - 11/13 - très élevé dans le cas de ma patiente (le plus haut a été de 7.3). Nous avons réussi à le baisser à 4.4, ce qui est encore trop haut (la norme est de moins de 1,3). Je considère qu’il ne s’agit pas d’un alcoolisme primaire pour ces motifs. Je pense qu’il s’agit d’une automédication ». Force est de constater que le médecin traitant ne pose pas de diagnostic psychiatrique, hormis l’état dépressif, qui serait la cause de la dépendance à l’alcool que présente l’assurée. La chambre de céans est consciente de ce que celle-ci a connu des moments de vie particulièrement difficiles, moments qui ont pu expliquer une certaine consommation d’alcool, ils ne valent cependant pas troubles psychiatriques et ne justifient pas, partant, que l’on considère qu’il s’agisse d’une alcoolo-dépendance primaire, de sorte que même si cette alcoolo-dépendance impliquait une entière incapacité de travail, cela ne serait pas suffisant, au regard de la jurisprudence du Tribunal fédéral, pour admettre une invalidité. Lors de l’audience du 17 février 2015, le médecin traitant a confirmé le diagnostic d’état dépressif qu’elle avait retenu, le qualifiant de sévère « au vu de ce qu’elle [l’assurée] explique avec ses mots. Elle n’a pas d’idée suicidaire, mais pense que si elle ne réveille pas le lendemain matin, ce serait plutôt une bonne chose ». Le médecin traitant maintient ainsi que sa patiente ne souffre pas d’une simple dysthymie. Elle considère qu’il y a aggravation de l’état dépressif, qui va de pair avec l’augmentation de la consommation d’alcool, précisant toutefois qu’elle n’avait pas encore réussi à la convaincre de consulter un psychiatre. Il apparaît à la chambre de céans que le médecin traitant semble plutôt faire reposer son diagnostic sur des appréciations clairement subjectives, ne faisant en particulier pas état des critères CIM-10. Elle reconnaît que le Cipralex, qu’elle lui prescrit, ne suffirait pas pour traiter un état dépressif sévère. L’expert a à cet égard constaté, quoi qu’il en soit, que « l’assurée était totalement non observante pour cette prescription, ce qui met en question indirectement les notions antérieures à l’observance et compliance ». Le médecin traitant avait en revanche souligné une compliance optimale et une bonne concordance entre les plaintes de la patiente et l’examen clinique. Entendue par la chambre de céans, elle a admis que « j’avais indiqué dans mon rapport du 10 septembre 2013 que la compliance était bonne. Je dois malheureusement rectifier, dans la mesure où j’avais fait confiance dans ses déclarations ». Elle a par ailleurs déclaré qu’« il faut une psychothérapie en même temps. En ma qualité de généraliste, je ne peux assumer la psychothérapie qui serait nécessaire. Je ne peux apporter qu’un soutien qui reste nécessairement insuffisant ». Aucune mesure psychothérapeutique n’a ainsi été mise sur pied. S’agissant enfin des réserves de l’assurée à se livrer en entretien, ces dernières ont été dûment prises en compte par le médecin expert. Les conclusions du médecin traitant ne sauraient, au vu de ce qui précède, remettre en cause le caractère probant des conclusions de l'expert quant à la capacité de travail de l'assurée.</w:t>
      </w:r>
    </w:p>
    <w:p>
      <w:r>
        <w:t>A/3044/2014 - 12/13 -</w:t>
      </w:r>
    </w:p>
    <w:p>
      <w:r>
        <w:rPr>
          <w:b/>
        </w:rPr>
        <w:t>E. 11</w:t>
      </w:r>
    </w:p>
    <w:p>
      <w:r>
        <w:t>La recourante souffre également de pathologies d’ordre somatique qui n’ont pas été investiguées par l’OAI, soit la BPCO et l’hyperthyroïdie. Le médecin traitant n’en fait toutefois pas état pour justifier une quelconque diminution de la capacité de travail et a confirmé, en audience, que sur le plan somatique, il n’y a pas de diminution de la capacité de travail. Il n’y a dès lors pas lieu de renvoyer la cause à l’OAI pour instruction complémentaire sur ce point.</w:t>
      </w:r>
    </w:p>
    <w:p>
      <w:r>
        <w:rPr>
          <w:b/>
        </w:rPr>
        <w:t>E. 12</w:t>
      </w:r>
    </w:p>
    <w:p>
      <w:r>
        <w:t>L’expert a conclu à une capacité de travail de 100% dans toute activité, à la date de son expertise, précisant à cet égard qu'il ne pouvait pas se prononcer pour le passé. Il n’a certes pas souhaité se prononcer sur la capacité de travail antérieure à son expertise. Il a toutefois indiqué que « pour ce qui concerne le passé, il n’y a aucun indice que ces quelques dernières années, une incapacité de travail significative ait existé ». Il y a lieu de rappeler que dans son rapport du 3 mai 2013, le médecin traitant a indiqué que sa patiente avait commencé à consommer de l’alcool de façon abusive depuis 2005-2006 en raison d’une péjoration de son état dépressif liée au départ de son mari et qu’elle souffre d’un état dépressif sévère depuis 2011, date à laquelle elle avait cessé toute activité lucrative. Le 25 octobre 2014, le médecin fait état d’une aggravation de l’état de santé, se bornant à préciser, notamment, que sa patiente présente une humeur triste et est de moins en moins soignée. Ces constatations, au demeurant contradictoires, ne suffisent pas pour justifier qu’il y ait eu incapacité de travail déterminante avant mai 2014, date du rapport d’expertise. Aussi le recours ne peut-il être que rejeté.</w:t>
      </w:r>
    </w:p>
    <w:p>
      <w:r>
        <w:t>A/3044/2014 - 13/13 -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