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ATAS/367/2010 vom 1. April 2010</w:t>
      </w:r>
    </w:p>
    <w:p>
      <w:r>
        <w:t>GE Cour de justice, 2010-04-01, FR</w:t>
      </w:r>
    </w:p>
    <w:p>
      <w:r>
        <w:rPr>
          <w:b/>
        </w:rPr>
        <w:t xml:space="preserve">Quelle: </w:t>
      </w:r>
      <w:r>
        <w:t>https://mcp.opencaselaw.ch/entscheid/ge_gerichte_ATAS_367_2010</w:t>
      </w:r>
    </w:p>
    <w:p>
      <w:r>
        <w:t>FR: GE_GERICHTE ATAS/367/2010 du 1 avril 2010</w:t>
      </w:r>
    </w:p>
    <w:p>
      <w:r>
        <w:t>IT: GE_GERICHTE ATAS/367/2010 del 1 aprile 2010</w:t>
      </w:r>
    </w:p>
    <w:p>
      <w:pPr>
        <w:pStyle w:val="Heading2"/>
      </w:pPr>
      <w:r>
        <w:t>Erwägungen</w:t>
      </w:r>
    </w:p>
    <w:p>
      <w:r>
        <w:rPr>
          <w:b/>
        </w:rPr>
        <w:t>E. 12</w:t>
      </w:r>
    </w:p>
    <w:p>
      <w:r>
        <w:t>Par acte du 8 octobre 2009 adressé au Tribunal cantonal des assurances sociales par pli postal du 12 octobre 2009, la recourante contesta la décision de l’OAI du 21 septembre 2009. Elle demandait l’annulation de ladite décision et l’octroi d’une mesure de reclassement professionnel ou d’une rente d’invalidité. La recourante se référait à l’expertise du 29 juillet 2008, relevant être atteinte dans sa santé physiquement et non psychiquement. Elle était très contente d’avoir trouvé un emploi lui convenant, de sorte que la surcharge psychique mentionnée dans le rapport d’expertise du 29 juillet 2008 était consécutif à son licenciement. L’OAI n’avait pas tenu compte de son état de santé réel.</w:t>
      </w:r>
    </w:p>
    <w:p>
      <w:r>
        <w:rPr>
          <w:b/>
        </w:rPr>
        <w:t>E. 13</w:t>
      </w:r>
    </w:p>
    <w:p>
      <w:r>
        <w:t>Par acte du 9 novembre 2009, l’OAI conclu à la confirmation de sa décision du 21 septembre 2009. Il était relevé que les rapports d’expertise du BREM remplissaient toutes les conditions jurisprudentielles permettant de leur reconnaître une pleine valeur probante. La pathologie de la recourante avait été prise en compte, mais il ne s’en suivait pas d’incapacité de gain. Le médecin traitant avait admis une capacité de travail complète dans une activité adaptée. Elle avait de surcroît été contactée par la Dresse O_________ dans le cadre de l’expertise ayant abouti au rapport du 29 juillet 2008.</w:t>
      </w:r>
    </w:p>
    <w:p>
      <w:r>
        <w:rPr>
          <w:b/>
        </w:rPr>
        <w:t>E. 14</w:t>
      </w:r>
    </w:p>
    <w:p>
      <w:r>
        <w:t>Sur quoi la cause fut gardée à juger. EN DROIT 1. Conformément à l'art. 56V al. 1 let. a ch. 2 de la Loi sur l'organisation judiciaire, du 22 novembre 1941 (LOJ ; RS E 2 05), le Tribunal cantonal des assurances sociales connaît en instance unique des contestations prévues à l’art. 56 de la Loi fédérale</w:t>
      </w:r>
    </w:p>
    <w:p>
      <w:r>
        <w:t>A/3659/2009 - 6/10 - sur la partie générale du droit des assurances sociales, du 6 octobre 2000 (LPGA ; RS 830.1) qui sont relatives à la Loi fédérale sur l’assurance-invalidité du</w:t>
      </w:r>
    </w:p>
    <w:p>
      <w:r>
        <w:rPr>
          <w:b/>
        </w:rPr>
        <w:t>E. 19</w:t>
      </w:r>
    </w:p>
    <w:p>
      <w:r>
        <w:t>juin 1959 (LAI ; RS 831.20).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postal du 12 octobre 2009, le recours contre la décision de l’OAI du 21 septembre 2009 intervient en temps utile (art. 60 al. 1 LPGA). Les autres conditions prévues par les art. 56 et ss LPGA étant réalisées, le recours est recevable. 4. Le litige porte sur l’existence d’une incapacité de gain ouvrant droit à des prestations de l’assurance-invalidité. 5.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w:t>
      </w:r>
    </w:p>
    <w:p>
      <w:r>
        <w:t>A/3659/2009 - 7/10 -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et survenues jusqu'au moment où la décision est rendue, susceptibles d'influencer le droit à la rente,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6. En vertu,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w:t>
      </w:r>
    </w:p>
    <w:p>
      <w:r>
        <w:t>A/3659/2009 - 8/10 -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7. En l’espèce, la recourante invoque une absence de prise en compte de son état de santé réel. L’OAI retient l’absence d’atteinte psychiatrique invalidante, ce que la recourante ne remet pas en cause. Sur le plan physique, l’OAI retient une capacité de travail de 60% dans l’activité habituelle et de 100% dans une activité adaptée, de sorte qu’il n’y aurait pas d’incapacité de gain médicalement attestée. L’OAI se fonde sur l’expertise bidisciplinaire du BREM. Le rapport d’expertise du BREM, signé par la Dresse O_________, rhumatologue FMH, et la Dresse Q_________, psychiatre FMH, et daté du 26 mars 2009 parvient effectivement aux conclusions tirées par l’OAI. Il est conforme aux réquisits jurisprudentiels permettant de le prendre en compte. En particulier, il contient une anamnèse complète, prend en compte les plaintes de la recourante, pose des</w:t>
      </w:r>
    </w:p>
    <w:p>
      <w:r>
        <w:t>A/3659/2009 - 9/10 - diagnostics précis et contient une appréciation et des conclusions claires sur les points importants. Au-delà de ce qui précède, le Tribunal considère que ce rapport d’expertise est convainquant. Il s’en suit l’absence d’incapacité de travail sur le plan psychique, malgré un syndrome somatoforme douloureux persistant, la recourante bénéficiant de ressources suffisantes pour lui permettre de surmonter ses douleurs, puisqu’elle était en mesure d’effectuer certaines activités sportives, de s’occuper journellement de son ménage et de maintenir régulièrement des contacts sociaux et des loisirs. Compte tenu de ces explications claires et en l’absence d’avis médical divergent, il n’y a pas de raison de s’écarter de cet avis d’expert. Sur le plan physique, la recourante conservait une capacité de travail de 60% dans l’activité habituelle. Sa capacité de travail était même de 100% dans une activité adaptée à ses limitations fonctionnelles. Dès lors que ce point est de surcroît confirmé par le rapport médical du 23 avril 2008 de la Dresse N_________, il n’y a là non plus pas lieu de s’écarter de l’avis des experts. Or, la recourante avait précisément repris son travail selon un taux de 61%. Il n’y a ainsi pas de perte de gain, malgré une incapacité de travail partielle, ceci y compris dans l’activité habituelle. S’agissant des tâches ménagères, les experts ne retiennent pas de limitation et la recourante n’invoque pas de réel empêchement, expliquant uniquement prendre garde à ne pas se bloquer le dos. Ainsi, la décision de l’OAI du 21 septembre 2009 est fondée et doit être confirmée. 8. Le recours sera ainsi rejeté 9. Un émolument de 200 fr. est mis à charge de la recourante, qui succombe (art. 69 al. 1bis LAI)</w:t>
      </w:r>
    </w:p>
    <w:p>
      <w:r>
        <w:t>A/3659/2009 - 10/10 -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