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ATAS/366/2023 vom 22. Mai 2023</w:t>
      </w:r>
    </w:p>
    <w:p>
      <w:r>
        <w:t>GE Cour de justice, 2023-05-22, FR</w:t>
      </w:r>
    </w:p>
    <w:p>
      <w:r>
        <w:rPr>
          <w:b/>
        </w:rPr>
        <w:t xml:space="preserve">Quelle: </w:t>
      </w:r>
      <w:r>
        <w:t>https://mcp.opencaselaw.ch/entscheid/ge_gerichte_ATAS_366_2023</w:t>
      </w:r>
    </w:p>
    <w:p>
      <w:r>
        <w:t>FR: GE_GERICHTE ATAS/366/2023 du 22 mai 2023</w:t>
      </w:r>
    </w:p>
    <w:p>
      <w:r>
        <w:t>IT: GE_GERICHTE ATAS/366/2023 del 22 maggio 2023</w:t>
      </w:r>
    </w:p>
    <w:p>
      <w:pPr>
        <w:pStyle w:val="Heading2"/>
      </w:pPr>
      <w:r>
        <w:t>Erwägungen</w:t>
      </w:r>
    </w:p>
    <w:p>
      <w:r>
        <w:rPr>
          <w:b/>
        </w:rPr>
        <w:t>E. 7</w:t>
      </w:r>
    </w:p>
    <w:p>
      <w:r>
        <w:t>Les modalités de calcul opéré par l'intimée ne prêtent pas le flanc à la critique et ne sont d'ailleurs pas remises en cause par la recourante. Le gain assuré de CHF 12'350.- retenu par l’intimée n’est pas litigieux. L’indemnité de chômage correspond à 80% de ce montant divisé par 21.7, soit le nombre de jours ouvrables en moyenne par mois (cf. art. 40a de l’ordonnance sur l’assurance-chômage obligatoire et l’indemnité en cas d’insolvabilité [OACI ; RS 837.02]) et s'élève ainsi à CHF 455.30. Quant au revenu journalier correspondant au gain intermédiaire, il est de CHF 470.50, soit CHF 10'210.20 (CHF 8'800.-</w:t>
      </w:r>
    </w:p>
    <w:p>
      <w:r>
        <w:t>A/209/2023 - 10/13 - [salaire mensuel] + CHF 733.35 [part du treizième] + CHF 676.85 [part du bonus]) divisés par 21.7. Dès lors, le gain intermédiaire (CHF 470.50) dépassait effectivement pour la période en cause l'indemnité de chômage (CHF 455.30). Or, dans la mesure où, en tenant compte du bonus, la rémunération de la recourante est supérieure à l'indemnité de chômage complète, la recourante n'a plus droit à aucune indemnité puisque, durant la période de contrôle en cause, elle perd son statut de chômeuse. S’agissant du montant à rembourser, il est supérieur au montant du bonus. Ceci s'explique par le fait que c'est en référence au gain assuré qu'est calculée la perte de gain servant de base au calcul de l'indemnité compensatoire, ce qui fait du gain intermédiaire une institution particulièrement avantageuse (Boris RUBIN, Assurance-chômage, Droit fédéral, Survol des mesures cantonales, procédure, 2ème éd., Zurich 2006, p. 330). En effet, les indemnités compensatoires ont pour but de promouvoir la reprise du travail, même lorsqu'il s'agit d'un emploi qui ne met pas fin au chômage. Ainsi, celui qui obtient un gain intermédiaire réalise un revenu plus élevé que le chômeur, puisque la somme du gain intermédiaire et de l'indemnité compensatoire est toujours plus élevée que l'indemnité normale sans gain intermédiaire, soit celle qui serait versée en cas de chômage total de l'assuré (RUBIN, op. cit., p. 322). En recevant un gain journalier supérieur à l'indemnité de chômage, la recourante n’a plus droit à aucune indemnité compensatoire ; elle subit de cette manière un effet de seuil, qui, s'il peut effectivement lui paraître inéquitable, est néanmoins conforme au droit.</w:t>
      </w:r>
    </w:p>
    <w:p>
      <w:r>
        <w:rPr>
          <w:b/>
        </w:rPr>
        <w:t>E. 8</w:t>
      </w:r>
    </w:p>
    <w:p>
      <w:r>
        <w:t>Reste à déterminer si la demande de restitution respecte les conditions de l'art. 25 LPGA.</w:t>
      </w:r>
    </w:p>
    <w:p>
      <w:r>
        <w:rPr>
          <w:b/>
        </w:rPr>
        <w:t>E. 8.1</w:t>
      </w:r>
    </w:p>
    <w:p>
      <w:r>
        <w:t>Au terme de l'art. 25 al. 1 LPGA, auquel renvoie l'art. 95 al. 1 LACI,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L'obligation de restituer des prestations indûment touchées et son étendue dans le temps a pour but simplement de rétablir l'ordre légal après la découverte du fait nouveau (cf. arrêt du Tribunal fédéral 9C_398/2021 du 22 février 2022 consid. 5.1).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w:t>
      </w:r>
    </w:p>
    <w:p>
      <w:r>
        <w:t>A/209/2023 - 11/13 - doute erronée et que sa rectification revête une importance notable (ATF 122 V 19 consid. 3a ; ATF 122 V 169 consid. 4a ; ATF 121 V 1 consid. 6). Ces principes sont aussi applicables lorsque des prestations ont été accordées sans avoir fait l'objet d'une décision formelle et que leur versement, néanmoins, a acquis force de chose décidée (ATF 126 V 23 consid. 4b et la référence).</w:t>
      </w:r>
    </w:p>
    <w:p>
      <w:r>
        <w:rPr>
          <w:b/>
        </w:rPr>
        <w:t>E. 8.2</w:t>
      </w:r>
    </w:p>
    <w:p>
      <w:r>
        <w:t>En vertu de l'art. 25 al. 2 LPGA,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w:t>
      </w:r>
    </w:p>
    <w:p>
      <w:r>
        <w:rPr>
          <w:b/>
        </w:rPr>
        <w:t>E. 8.3</w:t>
      </w:r>
    </w:p>
    <w:p>
      <w:r>
        <w:t>En l'occurrence, après avoir appris en avril 2022 que la recourante avait perçu un bonus pour 2021, l'intimée lui a réclamé, par décision du 19 mai 2022, le remboursement des prestations versées pour la période de juillet à décembre 2021. Or, le versement dudit bonus est un fait nouveau, susceptible de conduire à une appréciation juridique différente de la décision initiale de prestations, la rectification de celle-ci revêtant une importance notable, puisque, comme vu précédemment, les indemnités compensatoires versées à la recourante pour la période du 5 juillet au 31 décembre 2021, l'ont été de manière indue et qu'elles s'élèvent, au total, à CHF 11'268.80. Par ailleurs, le délai relatif de trois ans est clairement respecté. 9.</w:t>
      </w:r>
    </w:p>
    <w:p>
      <w:r>
        <w:t>9.1 Eu égard à ce qui précède, la décision de l'intimée s'avère conforme au droit. Le recours sera donc rejeté. 9.2 Il n’y a pas lieu d’examiner, dans le cadre de la présente procédure, si les conditions d’une remise de l’obligation de restituer sont remplies, à savoir si, cumulativement, l'intéressée était de bonne foi et si l’obligation de restituer l’exposerait à une situation difficile (art. 25 al. 1 phr. 2 LPGA). C’est une fois seulement qu’est entrée en force la décision portant sur la restitution elle-même des prestations perçues indûment que sont examinées ces deux conditions, sur requête de l’intéressée (arrêt du Tribunal fédéral 9C_678/2011 du 4 janvier 2012 consid. 5.2 ; ATAS/587/2016 du 19 juillet 2016 consid. 3 ; ATAS/365/2016 du</w:t>
      </w:r>
    </w:p>
    <w:p>
      <w:r>
        <w:rPr>
          <w:b/>
        </w:rPr>
        <w:t>E. 10</w:t>
      </w:r>
    </w:p>
    <w:p>
      <w:r>
        <w:t>mai 2016 consid. 7a ; Ueli KIESER, ATSG Kommentar, 3ème éd., 2015, n. 9 ad art. 25 LPGA, p. 383).</w:t>
      </w:r>
    </w:p>
    <w:p>
      <w:r>
        <w:t>A/209/2023 - 12/13 - Il est toutefois loisible à la recourante de solliciter une telle remise de la part de l'intimée (cf. art. 2 ss OPGA). 9.3 Pour le surplus, la procédure est gratuite (art. 61 let. fbis LPGA en lien avec l'art. 1 al. 1 LACI).</w:t>
      </w:r>
    </w:p>
    <w:p>
      <w:r>
        <w:t>A/209/2023 - 13/13 -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