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ATAS/366/2015 vom 19. Mai 2015</w:t>
      </w:r>
    </w:p>
    <w:p>
      <w:r>
        <w:t>GE Cour de justice, 2015-05-19, FR</w:t>
      </w:r>
    </w:p>
    <w:p>
      <w:r>
        <w:rPr>
          <w:b/>
        </w:rPr>
        <w:t xml:space="preserve">Quelle: </w:t>
      </w:r>
      <w:r>
        <w:t>https://mcp.opencaselaw.ch/entscheid/ge_gerichte_ATAS_366_2015</w:t>
      </w:r>
    </w:p>
    <w:p>
      <w:r>
        <w:t>FR: GE_GERICHTE ATAS/366/2015 du 19 mai 2015</w:t>
      </w:r>
    </w:p>
    <w:p>
      <w:r>
        <w:t>IT: GE_GERICHTE ATAS/366/2015 del 19 maggio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A/2698/2014 - 12/20 -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à la présente procédure.</w:t>
      </w:r>
    </w:p>
    <w:p>
      <w:r>
        <w:rPr>
          <w:b/>
        </w:rPr>
        <w:t>E. 3</w:t>
      </w:r>
    </w:p>
    <w:p>
      <w:r>
        <w:t>Le recours, interjeté dans la forme et le délai légaux prévus par les art. 56ss LPGA est recevable.</w:t>
      </w:r>
    </w:p>
    <w:p>
      <w:r>
        <w:rPr>
          <w:b/>
        </w:rPr>
        <w:t>E. 4</w:t>
      </w:r>
    </w:p>
    <w:p>
      <w:r>
        <w:t>Le litige porte sur le droit de la Caisse de réclamer à la société le paiement de cotisations paritaires AVS/AI fondées sur les rémunérations versées à Mme B______ de février à juin 2013. Il s’agit dès lors de déterminer si l’activité déployée par l’assurée durant cette période ressortit à une activité salariée ou indépendante.</w:t>
      </w:r>
    </w:p>
    <w:p>
      <w:r>
        <w:rPr>
          <w:b/>
        </w:rPr>
        <w:t>E. 4.2</w:t>
      </w:r>
    </w:p>
    <w:p>
      <w:r>
        <w:t>et les références citées).</w:t>
      </w:r>
    </w:p>
    <w:p>
      <w:r>
        <w:t>A/2698/2014 - 15/20 -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101 V 87 consid. 2 p. 89; arrêt du Tribunal fédéral des assurances [TFA] H 169/04 du 21 avril 2005 consid. 4.4; GUSTAVO SCARTAZZINI, in : GREBER/DUC/SCARTAZZINI, Commentaire des art. 1 à 16 de la Loi fédérale sur l'assurance-vieillesse et survivants [LAVS], 1996, n. 134 ss ad art. 5; HANS-PETER KÄSER, Unterstellung und Beitragswesen in der obligatorischen AHV, 2ème éd., ch. 4.51).</w:t>
      </w:r>
    </w:p>
    <w:p>
      <w:r>
        <w:rPr>
          <w:b/>
        </w:rPr>
        <w:t>E. 5</w:t>
      </w:r>
    </w:p>
    <w:p>
      <w:r>
        <w:t>Est considéré comme employeur quiconque verse à des personnes obligatoirement assurées une rémunération au sens de l’art. 5 al. 2 LAVS.</w:t>
      </w:r>
    </w:p>
    <w:p>
      <w:r>
        <w:rPr>
          <w:b/>
        </w:rPr>
        <w:t>E. 6</w:t>
      </w:r>
    </w:p>
    <w:p>
      <w:r>
        <w:t>À teneur de l'art 1a al. 1er let. a LAVS, sont assurées conformément à la LAVS les personnes physiques domiciliées en Suisse. Conformément à l’art. 3 al. 1er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 8 et ad art. 12, n° 5-6). Le salaire déterminant, au sens de l'art. 5 al. 2 LAVS, comprend toute rémunération pour un travail dépendant, fourni pour un temps déterminé ou indéterminé. Font partie du</w:t>
      </w:r>
    </w:p>
    <w:p>
      <w:r>
        <w:t>A/2698/2014 - 13/20 -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pourboires, s’ils représentent une part importante du salaire; e. les prestations en nature ayant un caractère régulier; f. les provisions et les commissions; g. les tantièmes, les indemnités fixes et les jetons de présence des membres de l’administration et des organes dirigeants des personnes morales; h. les honoraires des privat-docents et des autres personnes qui, dans l'enseignement, sont rétribués de manière analogue;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w:t>
      </w:r>
    </w:p>
    <w:p>
      <w:r>
        <w:t>A/2698/2014 - 14/20 -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w:t>
      </w:r>
    </w:p>
    <w:p>
      <w:r>
        <w:rPr>
          <w:b/>
        </w:rPr>
        <w:t>E. 7</w:t>
      </w:r>
    </w:p>
    <w:p>
      <w:r>
        <w:t>Lorsqu'une personne assurée devient indépendante et continue néanmoins d'être active dans une large mesure pour celui qui jusque-là était son employeur, des exigences élevées doivent être posées s'agissant de la reconnaissance de son statut d'indépendant en relation avec les travaux effectués pour cette personne: les indications en faveur d'une activité indépendante doivent alors être clairement prépondérantes (cf. ATF 9C_1062/2010 ; arrêt U 427/06 du 28 août 2007 consid.</w:t>
      </w:r>
    </w:p>
    <w:p>
      <w:r>
        <w:rPr>
          <w:b/>
        </w:rPr>
        <w:t>E. 8</w:t>
      </w:r>
    </w:p>
    <w:p>
      <w:r>
        <w:t>Selon les directives sur le salaire déterminant AVS, état au 1er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 1018).</w:t>
      </w:r>
    </w:p>
    <w:p>
      <w:r>
        <w:rPr>
          <w:b/>
        </w:rPr>
        <w:t>E. 9</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 En cas d’absence de preuve, c’est à la partie qui voulait en déduire un droit d’en supporter les conséquences (ATF 117 V 261 consid. 3b).</w:t>
      </w:r>
    </w:p>
    <w:p>
      <w:r>
        <w:rPr>
          <w:b/>
        </w:rPr>
        <w:t>E. 10</w:t>
      </w:r>
    </w:p>
    <w:p>
      <w:r>
        <w:t>En l’espèce, la Caisse a considéré que l’intéressée avait exercé une activité lucrative salariée auprès de la société de février à juin 2013. La société allègue au contraire que l’intéressée remplissait les critères permettant de retenir une activité indépendante.</w:t>
      </w:r>
    </w:p>
    <w:p>
      <w:r>
        <w:t>A/2698/2014 - 16/20 - Dans son courrier du 28 août 2013, l’intéressée a clairement indiqué qu’elle se considérait comme ayant été salariée de la société. Elle a confirmé cette position lors de l’audience du 28 avril 2015.</w:t>
      </w:r>
    </w:p>
    <w:p>
      <w:r>
        <w:rPr>
          <w:b/>
        </w:rPr>
        <w:t>E. 11</w:t>
      </w:r>
    </w:p>
    <w:p>
      <w:r>
        <w:t>Il n’est certes pas possible de déterminer ce que les parties ont convenu précisément, dans la mesure où aucun contrat écrit n’a été conclu, les rapports de droit civil ne sont toutefois pas déterminants pour trancher la question du statut - indépendant ou salarié - d’une personne. Ils ne constituent que des indices. Force est à cet égard de constater que la société utilise dans ses courriers, de manière générale, des termes relatifs à un travail salarié. Par exemple, dans un courriel du 8 juin 2013, il est question de cartes de visite au logo du Centre « dès que tu serais diplômée en digito » ; dans un courriel du 12 juin 2013, la société déclare : « je doute donc que tu arrives à trouver des conditions de travail et salariales aussi favorables que les nôtres » ; ou encore « dois-je te rappeler que tu as toi-même provoqué ces mauvaises conditions de travail en refusant de répondre à nos questions légitimes ? » ; dans un courrier du 8 juillet 2013 enfin, la société se plaint d’être « la principale victime de cette affaire, puisqu’il nous a déjà fallu annuler des rendez-vous et n’avons personne pour remplacer l’intéressée durant l’été, un préjudice que nous estimons à plusieurs milliers de francs ». S’agissant plus particulièrement des charges sociales, l’intéressée a précisé qu’elle ne se souvenait pas qu’elle en ait parlé avec la responsable du Centre, rappelant qu’il s’agissait pour elle d’un simple remplacement de quelques mois. La responsable du Centre n’a pas à proprement parler contesté les déclarations de l’intéressée, dans la mesure où elle reconnaît que « nous pensions que l’OAI s’occupait de régler les questions administratives, raison pour laquelle nous n’avons pas demandé à l’intéressée de nous produire un document attestant de son affiliation auprès d’une caisse de compensation ». Il apparaît que l’intéressée n’avait à l’évidence pas l’intention de s’installer à son propre compte. Elle a répété à plusieurs reprises qu’elle venait remplacer une personne partie en congé maternité pour un temps précisément déterminé, personne dont elle savait qu’elle était salariée. Elle n’avait aucune raison de penser qu’il lui fallait pour travailler au Centre être de condition indépendante, de sorte qu’elle n’a notamment entrepris aucune démarche pour rechercher des clients. La responsable du Centre a confirmé que le statut de la personne que l’intéressée remplaçait était celui de salarié, mais a expliqué que si tel était le cas, c’était parce qu’elle s’occupait de la boutique à mi-temps. Force est toutefois de constater qu’elle était également salariée s’agissant de l’autre partie de son temps durant laquelle elle travaillait comme massothérapeute. Elle n’est devenue indépendante qu’à partir d’août 2014.</w:t>
      </w:r>
    </w:p>
    <w:p>
      <w:r>
        <w:rPr>
          <w:b/>
        </w:rPr>
        <w:t>E. 12</w:t>
      </w:r>
    </w:p>
    <w:p>
      <w:r>
        <w:t>Il appert de la partie en fait qui précède que l’intéressée travaillait dans les locaux de la société. La responsable du Centre a expliqué qu’elle lui mettait une salle gratuitement à disposition. L’intéressée ne participait pas aux frais généraux de la</w:t>
      </w:r>
    </w:p>
    <w:p>
      <w:r>
        <w:t>A/2698/2014 - 17/20 - salle (électricité, téléphone, etc). C’est le personnel du Centre qui était chargé de l’entretien de la salle. Elle bénéficiait dès lors de l'infrastructure de son lieu de travail. L’intéressée n'a opéré aucun investissement en particulier - les frais de formation ne peuvent être assimilés à des frais d’investissement contrairement à ce que soutient la société -. Lors de la comparution personnelle des parties, la responsable du Centre a, dans un premier temps, affirmé que la masseuse devait apporter ses huiles de massage, ses draps, la musique et s’occuper de sa tenue. Toutefois, lorsque l’intéressée a expliqué qu’en réalité le matériel ne lui était pas fourni, qu’elle utilisait les huiles, les draps, etc. du Centre, mettait elle-même les draps dans la machine à laver du Centre et prenait la musique que lui avait confiée la personne qu’elle remplaçait, la responsable du Centre a finalement admis qu’elle ne savait pas ce qui s’était passé dans le cas de l’intéressée, et qu’il était possible que celle-ci ait utilisé les huiles du Centre, qu’elle ne s’en était pas préoccupé, les huiles ne coûtant pas très cher.</w:t>
      </w:r>
    </w:p>
    <w:p>
      <w:r>
        <w:rPr>
          <w:b/>
        </w:rPr>
        <w:t>E. 13</w:t>
      </w:r>
    </w:p>
    <w:p>
      <w:r>
        <w:t>L’intéressée a produit copies des deux factures établies les 8 mai et 22 juin 2013. Elles sont libellées à son nom, mais adressées à la société. Il y a ainsi lieu de constater que l’intéressée n’agit pas en son propre nom auprès du client et pour son propre compte. Aussi le client ne fait-il pas affaire avec elle, mais avec le Centre.</w:t>
      </w:r>
    </w:p>
    <w:p>
      <w:r>
        <w:rPr>
          <w:b/>
        </w:rPr>
        <w:t>E. 14</w:t>
      </w:r>
    </w:p>
    <w:p>
      <w:r>
        <w:t>Les factures indiquent le nombre de massages thérapeutiques effectués mensuellement, ainsi que le taux horaire de CHF 51.-. A cet égard, les déclarations des parties divergent. Selon la responsable du Centre, « nous avons convenu avec l’intéressée que son tarif correspondrait à la moitié du prix d’une heure de thérapie, laquelle est de CHF 100.- », alors que selon l’intéressée « nous n’avons pas convenu d’un prix en réalité. Je me suis simplement alignée sur le tarif de la personne que je remplaçais ». Il appert en réalité que les parties ont effectivement pris comme base le tarif de la moitié du prix d’une heure de thérapie facturée au client, mais pour tenir compte du fait que ce prix pouvait varier selon le client suivant s’il était ou non au bénéfice de réductions accordées par le Centre, la société a finalement accepté de fixer le tarif horaire de l’intéressée à CHF 51.- quel que soit le client. Ainsi, le tarif a été convenu d’entente, ce qui pourrait plaider en faveur d’une activité indépendante. Le fait en revanche qu'elle ait été rémunérée sur la base d'un tarif horaire n'est pas incompatible avec une activité salariée.</w:t>
      </w:r>
    </w:p>
    <w:p>
      <w:r>
        <w:rPr>
          <w:b/>
        </w:rPr>
        <w:t>E. 15</w:t>
      </w:r>
    </w:p>
    <w:p>
      <w:r>
        <w:t>Le client s’acquitte du montant de sa facture auprès de la société, de sorte que c’est celle-ci qui subit un dommage en cas de non-paiement. Il y a au surplus lieu de constater que lorsqu’il a été mis prématurément fin à son contrat à mi-juin 2013, elle s’est retrouvée dans une situation semblable à celle d’un</w:t>
      </w:r>
    </w:p>
    <w:p>
      <w:r>
        <w:t>A/2698/2014 - 18/20 - salarié qui perd son emploi, ce qui représente une caractéristique typique d’une activité lucrative salariée. On ne peut que constater, au vu de ce qui précède, que l’intéressée ne courait aucun risque économique.</w:t>
      </w:r>
    </w:p>
    <w:p>
      <w:r>
        <w:rPr>
          <w:b/>
        </w:rPr>
        <w:t>E. 16</w:t>
      </w:r>
    </w:p>
    <w:p>
      <w:r>
        <w:t>L’intéressée n’avait pas d’autres clients que ceux du Centre. Elle a à cet égard expliqué qu’« il n’a jamais été question que je puisse utiliser la salle pour accueillir des patients qui n’auraient pas été clients du Centre ; en réalité, l’idée ne m’est même pas venue à l’esprit ». Elle ne possédait du reste pas les clés des locaux et ne pouvait ainsi disposer librement de la salle de massages. L’explication de la responsable du Centre, selon laquelle « en théorie, l’intéressée aurait pu recevoir d’autres patients qui n’auraient pas été des clients du Centre. Elle aurait également pu leur adresser directement ses factures, mais elle aurait alors dû convenir avec nous d’un dédommagement pour l’utilisation de la salle », vient plutôt confirmer le fait que l’activité que l’intéressée exerçait en relation avec « les clients du Centre » était salariée. En effet, la responsable du Centre n’envisage la possibilité pour l’intéressée de s’occuper d’autres clients qu’en théorie, d’une part, et admet qu’elles auraient alors dû prendre d’autres dispositions quant à l’utilisation de la salle plus particulièrement, d’autre part. L’intéressée n’a ainsi qu’un seul employeur et n’a tiré l’ensemble de ses revenus lucratifs que de l’activité exercée pour la société, ce qui démontre l’existence d’un lien de dépendance économique entre eux.</w:t>
      </w:r>
    </w:p>
    <w:p>
      <w:r>
        <w:rPr>
          <w:b/>
        </w:rPr>
        <w:t>E. 17</w:t>
      </w:r>
    </w:p>
    <w:p>
      <w:r>
        <w:t>La société souligne que l’intéressée choisissait elle-même ses horaires de travail. La possibilité pour le travailleur d'organiser son horaire de travail ne signifie toutefois pas nécessairement qu'il s'agit d'une activité indépendante (ATF 122 V 172). Quoi qu’il en soit, il s’avère que l’intéressée a, en réalité, fait part à la société des créneaux horaires durant lesquels elle se tenait à disposition. Elle ne fixait en revanche pas elle-même les rendez-vous. L’intéressée établissait certes les factures, mais sur la base d’un modèle que lui avait montré la secrétaire du Centre, ce que n’a pas nié la responsable du Centre. Elle ne jouissait ainsi que d’une liberté d’organisation toute relative dans son travail.</w:t>
      </w:r>
    </w:p>
    <w:p>
      <w:r>
        <w:rPr>
          <w:b/>
        </w:rPr>
        <w:t>E. 18</w:t>
      </w:r>
    </w:p>
    <w:p>
      <w:r>
        <w:t>L’assistance administrative, l’accueil, la sécurité, le suivi de séances (elle n’était pas obligée de rester avec le patient jusqu’à ce qu’il quitte le Centre) lui étaient fournis par le Centre. Elle était de plus encouragée à inciter les clients à acheter des produits de la société. La responsable du Centre a reproché à l’intéressée d’avoir « choisi d’arrêter subitement son activité pour profiter de vacances d’été et d’une troisième année de formation payées par l’AI ». La chambre de céans relève à cet égard qu’il était prévu que l’intéressée travaille pour le Centre jusqu’à fin juin 2013 seulement. On comprend dans ces conditions difficilement le mécontentement de la responsable du</w:t>
      </w:r>
    </w:p>
    <w:p>
      <w:r>
        <w:t>A/2698/2014 - 19/20 - Centre. On constate en revanche très clairement ainsi l’existence d’un lien de subordination. Force est ainsi de constater qu'il y avait bel et bien un rapport de subordination de l’intéressée envers le Centre.</w:t>
      </w:r>
    </w:p>
    <w:p>
      <w:r>
        <w:rPr>
          <w:b/>
        </w:rPr>
        <w:t>E. 19</w:t>
      </w:r>
    </w:p>
    <w:p>
      <w:r>
        <w:t>Il s’avère que l’intéressée a continué sa formation en 2ème année de septembre 2012 à juin 2013 au Centre, après avoir obtenu un diplôme de massages thérapeutiques en juin 2012. Un diplôme de massages des points d’acupuncture (digito) lui a été délivré en juin 2013. La Caisse considère que le seul fait d’être en formation exclut le statut d’indépendant. La responsable du Centre conteste ce point de vue. Elle a en effet expliqué à l’intéressée dans son courriel du 12 juin 2013, que « tout massothérapeute est apte à travailler dès la fin de la première année, puisque agréé ASCA « massage thérapeutique », soit pour toi juin 2012. Seconde et troisième année sont optionnelles et ne se justifient que vis-à-vis d’une pratique professionnelle au quotidien ». Elle rappelle à cet égard que la formation comprend environ une journée théorie/pratique par semaine et que « de nombreuses personnes en formation travaillent parallèlement, pas nécessairement dans le domaine des massages ». Il est vrai qu’après avoir terminé sa première année et obtenu le diplôme de massages thérapeutiques, l’intéressée pouvait en théorie déjà travailler. Le fait est toutefois que selon la responsable du Centre elle-même, la moitié des personnes préfère attendre d’avoir effectué les deux ans de formation avant de se lancer dans la profession et le GROUPE MUTUEL, par exemple, ne rembourse pas les soins dispensés par un massopraticien lorsqu’il vient de terminer sa première année de formation. Il ne le fait qu’à l’issue d’une année supplémentaire (année de latence). On ne saurait dès lors considérer qu’à peine sa première année terminée, l’intéressée se soit installée à son propre compte. Quoi qu’il en soit, elle ne traitait à l’évidence pas sur un pied d’égalité avec la société comme le feraient deux entreprises entretenant des liens commerciaux.</w:t>
      </w:r>
    </w:p>
    <w:p>
      <w:r>
        <w:rPr>
          <w:b/>
        </w:rPr>
        <w:t>E. 20</w:t>
      </w:r>
    </w:p>
    <w:p>
      <w:r>
        <w:t>La responsable du Centre a insisté sur le fait que les massothérapeutes sont toujours de condition indépendante. Il y a toutefois lieu de rappeler que selon la jurisprudence, il faut décider dans chaque cas particulier si l'on est en présence d'une activité dépendante ou d'une activité indépendante en considérant toutes les circonstances de ce cas. Force est de constater qu’en l’espèce, les caractéristiques d'une activité salariée sont prédominantes, de sorte que le recours ne peut être que rejeté.</w:t>
      </w:r>
    </w:p>
    <w:p>
      <w:r>
        <w:t>A/2698/2014 - 20/20 -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