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ATAS/366/2013 vom 17. April 2013</w:t>
      </w:r>
    </w:p>
    <w:p>
      <w:r>
        <w:t>GE Cour de justice, 2013-04-17, FR</w:t>
      </w:r>
    </w:p>
    <w:p>
      <w:r>
        <w:rPr>
          <w:b/>
        </w:rPr>
        <w:t xml:space="preserve">Quelle: </w:t>
      </w:r>
      <w:r>
        <w:t>https://mcp.opencaselaw.ch/entscheid/ge_gerichte_ATAS_366_2013</w:t>
      </w:r>
    </w:p>
    <w:p>
      <w:r>
        <w:t>FR: GE_GERICHTE ATAS/366/2013 du 17 avril 2013</w:t>
      </w:r>
    </w:p>
    <w:p>
      <w:r>
        <w:t>IT: GE_GERICHTE ATAS/366/2013 del 17 aprile 2013</w:t>
      </w:r>
    </w:p>
    <w:p>
      <w:pPr>
        <w:pStyle w:val="Heading2"/>
      </w:pPr>
      <w:r>
        <w:t>Erwägungen</w:t>
      </w:r>
    </w:p>
    <w:p>
      <w:r>
        <w:rPr>
          <w:b/>
        </w:rPr>
        <w:t>E. 8</w:t>
      </w:r>
    </w:p>
    <w:p>
      <w:r>
        <w:t>a) En l’espèce, il y a lieu de considérer que le droit à une éventuelle rente serait né en 2011, année durant laquelle l’état de santé de la recourante s’est stabilisé, ce qu’admet d’ailleurs cette dernière dès lors qu’elle conclut au versement d’une rente d’invalidité avec effet au 1er janvier 2011. Partant, c’est cette année qui doit être prise en considération pour effectuer la comparaison des revenus. b) S’agissant du revenu sans invalidité, il s’élevait à 40'200 fr. au moment de l’accident, en 2006. En retenant les variations annuelles des salaires nominaux (Indice suisse des salaires nominaux - ISS), le salaire de la recourante se serait élevé à 43'305 fr. en 2011. c) Dès lors que la recourante n’a pas repris son activité après son accident, l’intimée a examiné le revenu d'invalide sur la base des données statistiques résultant de l’ESS et il n’y a pas lieu de procéder différemment, ce d’autant plus que cette méthode est plus appropriée dans le cas de la recourante (voir notamment ATFA non publié U 106/01 du 5 mars 2002. Selon les données statistiques, le revenu mensuel en 2010, pour une femme exerçant une activité simple et répétitive (niveau 4) était de 4'225 fr. soit un montant annuel de 50’700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celui-ci. Par ailleurs, au regard du large éventail d'activités simples que recouvrent les secteurs de la production et des services, on doit également convenir qu'un nombre significatif de ces activités sont adaptées au handicap de la recourante. Les salaires bruts standardisés sont calculés sur la base d'un horaire de travail de 40 heures, soit d'une durée hebdomadaire inférieure à la moyenne dans les entreprises en 2010 (41.6 heures: La Vie économique, 1/2 2013, tableau B 9.2 p. 94). Il convient ainsi d'adapter le salaire mensuel. En appliquant l'adaptation nécessaire, le salaire mensuel brut s'élève à 4'394 fr. soit un salaire annuel brut de 52'728 fr. Indexé selon l’ISS, le salaire mensuel de la recourante se serait élevé à 4'438 fr. par mois soit 53'255 fr. par an en 2011.</w:t>
      </w:r>
    </w:p>
    <w:p>
      <w:r>
        <w:t>A/1920/2012 - 25/31 - Par ailleurs, même si l’intimée n’en a pas tenu compte, il y a lieu de retenir un abattement de 10% en raison des limitations fonctionnelles de la recourante. Un taux supérieur ne se justifie pas, la recourante étant encore jeune. Ainsi, après abattement, le salaire avec invalidité de la recourante s’élèverait à 47'930 fr. Par conséquent, le degré d’invalidité de la recourante est nul, le salaire avec invalidité étant supérieur à celui sans invalidité. Même en retenant le taux d’abattement maximum de 25%, ce qui n’est en aucun cas justifié dans le cas d’espèce, la recourante ne pourrait prétendre à une rente d’invalidité ([43'305 - 39'941] : 43'305 x 100 = - 7,77 % soit 8% arrondi au nombre entier le plus proche). Partant, c’est à juste titre que l’intimée a nié à la recourante le droit à une rente d’invalidité en raison de ses troubles somatiques.</w:t>
      </w:r>
    </w:p>
    <w:p>
      <w:r>
        <w:rPr>
          <w:b/>
        </w:rPr>
        <w:t>E. 9</w:t>
      </w:r>
    </w:p>
    <w:p>
      <w:r>
        <w:t>Reste encore à examiner si les troubles psychiques de la recourante justifient une rente d’invalidité. Cependant, dans la mesure où l’intimée nie tout lien adéquat entre lesdits troubles et l’accident assuré, il y a lieu d’examiner cette question dans un premier temps.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A/1920/2012 - 26/31 -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Il n’en va pas de même en cas de troubles psychiques.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additionnels à une atteinte à la santé physique, apparus après un accident, on examine les critères de la causalité adéquate en excluant les aspects psychiques (ATF 115 V 133 consid. 6c/aa; ATF 115 V 403 consid. 5c/aa). c/aa)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A/1920/2012 - 27/31 -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c/bb) Pour admettre l’existence du lien de causalité en présence d’un accident de gravité moyenne, il faut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 la durée anormalement longue du traitement médical, qui ne saurait plus être examinée uniquement en fonction de la durée dudit traitement, mais sur l’existence de traitements continus spécifiques et lourds ; − les douleurs physiques persistantes, qui doivent être importantes, sans interruption et crédibles en regard de l’atteinte qu’elles occasionnent sur la vie de tous les jours ;</w:t>
      </w:r>
    </w:p>
    <w:p>
      <w:r>
        <w:t>A/1920/2012 - 28/31 - − les erreurs dans le traitement médical entraînant une aggravation notable des séquelles de l’accident ; − les difficultés et complications importantes apparues au cours de la guérison ; − et, enfin,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(ATF non publié 8C_897/2009 du 29 janvier 2010, consid. 4.5, ATF non publié 8C_487/2009 du 7 décembre 2009, consid. 5). Dans le cas d’un accident de gravité moyenne proprement dit, la réalisation de trois des critères est suffisante (ATF non publié 8C_498/2011 du 3 mai 2012 consid. 6.2.2, ATF non publié 8C_897/2009 du 29 janvier 2010, consid. 4.5) c) En cas d'atteintes à la santé sans preuve de déficit organique consécutives à un traumatisme de type «coup du lapin» à la colonne cervicale, un traumatisme analogue ou un traumatisme crânio-cérébral,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w:t>
      </w:r>
    </w:p>
    <w:p>
      <w:r>
        <w:t>A/1920/2012 - 29/31 -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crânio-cérébral (y compris un état dépressif), mais constituent plutôt une atteinte à la santé indépendante (ATFA non publié du 5 octobre 2006, U 385/05; RAMA 2001 n° 412 p. 79 consid. 2b).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du 30 novembre 2004, U 201/02).</w:t>
      </w:r>
    </w:p>
    <w:p>
      <w:r>
        <w:rPr>
          <w:b/>
        </w:rPr>
        <w:t>E. 10</w:t>
      </w:r>
    </w:p>
    <w:p>
      <w:r>
        <w:t>a) En l’espèce, force est de constater, à titre liminaire, que les troubles psychiques présentés par la recourante ne font pas partie du tableau clinique typique d’un traumatisme de type « coup du lapin » de sorte que c’est à juste titre que l’intimée a examiné le caractère adéquat du lien de causalité en application des critères définis à l’ATF 115 V 133, en tenant compte uniquement des troubles physiques. b/aa) S’agissant des critères objectifs, il y a lieu de considérer que l'accident du 20 juillet 2006 doit être classé dans les accidents de gravité moyenne. En effet, le déroulement de l'événement en cause - une chute dans les escaliers - et l'intensité des atteintes qu'il a générées - en substance des contusions et des cervicalgies -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A noter également que notre Haute Cour a eu l'occasion de juger que le fait de souffrir de multiples fractures et de perdre connaissance ne suffisait pas à faire admettre dans un tel cas l'existence d'un accident grave (ATFA non publié U 65/04 du 1er février 2005). On ne saurait cependant classer l’accident assuré à la limite des accidents légers dès lors qu’il ne s’agit pas d’une banale chute, la recourante ayant tout de même été victime d’une commotion avec perte de connaissance.</w:t>
      </w:r>
    </w:p>
    <w:p>
      <w:r>
        <w:t>A/1920/2012 - 30/31 - S’agissant des autres critères, il y a lieu de considérer ce qui suit : − Au vu des pièces du dossier, les circonstances de l'accident ne sauraient être qualifiées de dramatiques ou de particulièrement impressionnantes : la recourante a fait une chute dans les escaliers et s’est cogné la tête. − S’agissant des lésions physiques, elles consistent essentiellement en des contusions et des cervicalgies, dues selon toute vraisemblance à un descellement probable de la prothèse (voir rapport d’expertise du Dr R__________ du 8 septembre 2009). Ni la gravité ni la nature particulière de ces atteintes ne sont propres à entraîner des troubles psychiques. − Quant au traitement médical, qui consistait, à l’exception de l’intervention chirurgicale du 22 juillet 2009, en de la physiothérapie et la prise d’antalgiques, il n’était objectivement pas continu et lourd, quand bien même le médecin traitant de la recourante, le Dr Q__________, le qualifiait de la sorte en raison de l’intolérance à de nombreux médicaments (voir rapport du 26 janvier 2010). − Il n’y a par ailleurs pas eu d'erreur dans le traitement médical entraînant une aggravation notable des séquelles de l'accident ni de difficultés importantes apparues au cours de la guérison même si la recourante était intolérante à de nombreux médicaments. − Quant aux douleurs physiques persistantes, elles étaient suffisamment importantes et crédibles pour que les experts mandatés tant par le TCAS (Dr R__________) que par l’intimée (médecins de la CRR) reconnaissent une incapacité de travail à tout le moins jusqu’au 31 décembre 2010, ce qui constitue d’ailleurs une durée assez longue. Force est donc de constater que seuls deux des critères énoncés par la jurisprudence sont remplis en l’espèce, ce qui est insuffisant pour admettre l’existence d’un lien de causalité adéquate entre l’accident du 20 juillet 2006 et l’affection psychique dont souffre la recourante. Il sera encore précisé que la mise en œuvre d’une expertise psychiatrique ne permettrait au demeurant pas de modifier l’appréciation de la Cour de céans quant à l’absence de lien de causalité adéquate, ce point étant une question de droit (et non de fait comme celle de l’existence d’un lien de causalité naturelle). Partant, c’est à juste titre que l’intimée a refusé d’octroyer une rente d’invalidité en raison des troubles psychiques.</w:t>
      </w:r>
    </w:p>
    <w:p>
      <w:r>
        <w:rPr>
          <w:b/>
        </w:rPr>
        <w:t>E. 11</w:t>
      </w:r>
    </w:p>
    <w:p>
      <w:r>
        <w:t>Au vu de ce qui précède, le recours sera rejeté. Pour le surplus, la procédure est gratuite (art. 61 let. a LPGA).</w:t>
      </w:r>
    </w:p>
    <w:p>
      <w:r>
        <w:t>A/1920/2012 - 31/31 -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