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ATAS/366/2005 vom 3. Mai 2005</w:t>
      </w:r>
    </w:p>
    <w:p>
      <w:r>
        <w:t>GE Cour de justice, 2005-05-03, FR</w:t>
      </w:r>
    </w:p>
    <w:p>
      <w:r>
        <w:rPr>
          <w:b/>
        </w:rPr>
        <w:t xml:space="preserve">Quelle: </w:t>
      </w:r>
      <w:r>
        <w:t>https://mcp.opencaselaw.ch/entscheid/ge_gerichte_ATAS_366_2005</w:t>
      </w:r>
    </w:p>
    <w:p>
      <w:r>
        <w:t>FR: GE_GERICHTE ATAS/366/2005 du 3 mai 2005</w:t>
      </w:r>
    </w:p>
    <w:p>
      <w:r>
        <w:t>IT: GE_GERICHTE ATAS/366/2005 del 3 maggio 2005</w:t>
      </w:r>
    </w:p>
    <w:p>
      <w:pPr>
        <w:pStyle w:val="Heading2"/>
      </w:pPr>
      <w:r>
        <w:t>Erwägungen</w:t>
      </w:r>
    </w:p>
    <w:p>
      <w:r>
        <w:rPr>
          <w:b/>
        </w:rPr>
        <w:t>E. 27</w:t>
      </w:r>
    </w:p>
    <w:p>
      <w:r>
        <w:t>janvier 2004 (ATF 130 I 106), le Grand Conseil genevois a adopté, le 13 février, une disposition transitoire urgente permettant au Tribunal cantonal des assurances sociales de siéger sans assesseurs à trois juges titulaires, ce, dans l’attente de l’élection de nouveaux juges assesseurs ; Que conformément à l'art. 56 V al. 1 let. b LOJ, le Tribunal cantonal des assurances sociales connaît en instance unique des contestations relatives à la prévoyance professionnelle opposant institutions de prévoyance, employeurs et ayants droit, y compris en cas de divorce, ainsi qu’aux prétentions en responsabilité (article 331 à 331e du code des obligations ; articles 52, 56a, alinéa 1, et article 73 de la loi fédérale sur la prévoyance professionnelle, vieillesse, survivants et invalidité du 25 juin 1982 ; article 142 code civil) ; Que sa compétence pour juger du cas d’espèce est ainsi établie ; Que la demande a été retirée ; Qu’il convient d’en prendre acte et de rayer la cause du rôle ;</w:t>
      </w:r>
    </w:p>
    <w:p>
      <w:r>
        <w:t>A/897/2005 - 3/3 -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