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ATAS/365/2021 vom 20. April 2021</w:t>
      </w:r>
    </w:p>
    <w:p>
      <w:r>
        <w:t>GE Cour de justice, 2021-04-20, FR</w:t>
      </w:r>
    </w:p>
    <w:p>
      <w:r>
        <w:rPr>
          <w:b/>
        </w:rPr>
        <w:t xml:space="preserve">Quelle: </w:t>
      </w:r>
      <w:r>
        <w:t>https://mcp.opencaselaw.ch/entscheid/ge_gerichte_ATAS_365_2021</w:t>
      </w:r>
    </w:p>
    <w:p>
      <w:r>
        <w:t>FR: GE_GERICHTE ATAS/365/2021 du 20 avril 2021</w:t>
      </w:r>
    </w:p>
    <w:p>
      <w:r>
        <w:t>IT: GE_GERICHTE ATAS/365/2021 del 20 aprile 2021</w:t>
      </w:r>
    </w:p>
    <w:p>
      <w:pPr>
        <w:pStyle w:val="Heading2"/>
      </w:pPr>
      <w:r>
        <w:t>Erwägungen</w:t>
      </w:r>
    </w:p>
    <w:p>
      <w:r>
        <w:rPr>
          <w:b/>
        </w:rPr>
        <w:t>E. 1</w:t>
      </w:r>
    </w:p>
    <w:p>
      <w:r>
        <w:t>Conformément à l'art. 134 al. 1 let. a ch. 7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LAPG. Sa compétence pour juger du cas d’espèce est ainsi établie. 2.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LAPG contient le cas échéant sur la procédure restant réservées (art. 1 LAPG). 3. Interjeté dans la forme et le délai prévus par la loi, compte tenu des féries du 15 juillet au 15 août, le recours est recevable (art. 38 al. 4 let. b et 56ss LPGA ; 89Bss de la loi sur la procédure administrative du 12 septembre 1985 [LPA - E 5 10]).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w:t>
      </w:r>
    </w:p>
    <w:p>
      <w:r>
        <w:t>A/122/2021 - 4/7 -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dans la décision entreprise, l’intimée a rejeté la demande d’indemnisation du recourant pour huit jours de service isolés accomplis durant la période d’août à septembre 2019, soit les 14, 16, 17, 20, 22 et 28 août 2019 et les 4 et 10 septembre 2019. Devant la chambre de céans, le recourant conclut à l’octroi d’une indemnisation pour les quinze jours de service isolés accomplis durant la période d’août à décembre 2019. Or, en tant que la décision entreprise ne porte pas sur les sept jours de service isolés accomplis durant la période d’octobre à décembre 2019 (soit les 4 et 5 octobre, 21, 27 et 29 novembre et 4 et</w:t>
      </w:r>
    </w:p>
    <w:p>
      <w:r>
        <w:rPr>
          <w:b/>
        </w:rPr>
        <w:t>E. 10</w:t>
      </w:r>
    </w:p>
    <w:p>
      <w:r>
        <w:t>décembre 2019), la conclusion prise par le recourant tendant à leur indemnisation excède l’objet du litige. Il en va de même de la conclusion visant à ce que son Commandant de la Division Territoriale soit autorisé à émettre le formulaire de demande d’indemnisation pour les jours de services soldés du 4 octobre au 10 décembre 2019. Ces conclusions seront partant déclarées irrecevables. 5. Le litige porte donc sur le droit du recourant à l’allocation pour perte de gain pour les jours de services isolés accomplis durant les mois d’août 2019 (soit les 14, 16, 17, 20, 22 et 28) et septembre 2019 (soit les 4 et 10). 6. a. Les personnes qui font du service dans l'armée suisse ou dans le Service de la Croix-Rouge ont droit à une allocation pour chaque jour de solde (art. 1a al. 1 LAPG). Cela ressort également de l'art. 30 al. 1 de la loi fédérale sur l'armée et l'administration militaire (loi sur l'armée, LAAM du 3 février 1995 ; RS 510.10), selon lequel toute personne qui effectue du service militaire a droit à une indemnité pour perte de gain. La LAPG prévoit plusieurs sortes d'allocations (art. 4 ss LAPG), dont l'allocation de base à laquelle toutes les personnes qui font du service ont droit (art. 4 LAPG). b. Selon l’art. 1a al. 2bis LAPG, les personnes recrutées selon la législation militaire suisse ont droit à une allocation pour chaque jour de recrutement donnant droit à la solde.</w:t>
      </w:r>
    </w:p>
    <w:p>
      <w:r>
        <w:t>A/122/2021 - 5/7 - Selon l’art. 1a al. 4bis LAPG, le droit à une allocation s’éteint avec la perception d’une rente de vieillesse de l’assurance-vieillesse et survivants, mais au plus tard à l’âge donnant droit à une rente de vieillesse au sens de l’art. 21 de la loi fédérale du 20 décembre 1946 sur l’assurance-vieillesse et survivants (LAVS). Cette disposition est entrée en vigueur le 1er février 2015. Selon les DAPG, état au 1er janvier 2021, le droit à l’allocation s’éteint le dernier jour du mois qui précède celui où l’assuré a droit à une rente AVS (DAPG, ch. 3001.1). Selon le message du Conseil fédéral relatif à la modification de la loi fédérale sur la protection de la population et sur la protection civile du 27 février 2013 (FF 2013 1875), les retraités n’exercent généralement plus d’activité lucrative : ils ne peuvent donc être dédommagés. Les personnes qui touchent une rente AVS ou qui ont atteint l’âge de percevoir une rente de vieillesse ne doivent donc pas avoir droit aux APG pour des services militaires ou de protection civile par ailleurs volontaires (p. 1903). Ces prestations étant par ailleurs fournies exclusivement sur une base volontaire, la suppression du droit à l’indemnité prévu à l’art. 1a al. 4bis LAPG représente une inégalité de traitement justifiée et conforme à la Constitution par rapport à d’autres prestations. c.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Si plusieurs interprétations sont possibles, il convient de choisir celle qui est conforme à la Constitution (ATF 142 IV 137 consid. 6.2 p. 142 s. et les références ; ATF 141 III 444 consid. 2.1 p. 448 et les références ; ATF 141 III 53 consid. 5.4.1 p. 59). 7. En l’occurrence, le texte de l’art. 1a al. 4bis LAPG est clair et vise tant les assurés ayant atteint l’âge de la retraite n’exerçant plus d’activité lucrative que les assurés actifs ayant atteint l’âge de la retraite. Il est vrai que les personnes qui touchent une rente vieillesse de l’AVS n’exercent généralement plus d’activité lucrative, de sorte qu’ils ne subissent pas de perte de gain lorsqu’ils sont appelés à accomplir des jours de service. Or le recourant ne se trouve pas dans cette situation dans la mesure où il continue d’exercer une activité lucrative indépendante. Il ressort toutefois du message du Conseil fédéral,</w:t>
      </w:r>
    </w:p>
    <w:p>
      <w:r>
        <w:t>A/122/2021 - 6/7 - notamment par l’emploi du terme « généralement » (p. 1903), que la suppression du droit à l’indemnité APG pour les personnes qui touchent une rente vieillesse de l’AVS ne vise pas uniquement ce cas de figure, mais concerne tous les assurés ayant atteint l’âge de la retraite. Le message précise au demeurant que, dans la mesure où le service est fourni exclusivement sur une base volontaire, la suppression est conforme au principe d’égalité de traitement ancré à la Constitution fédérale. Ainsi, outre le fait que la chambre de céans est tenue d’appliquer les lois fédérales (art. 190 Cst.), à tout le moins lorsque le texte et le sens de la disposition légale sont absolument clairs, aucune raison objective ne permet de penser que le texte de l’art. 1a al. 4bis LAPG ne restitue pas le sens véritable de la disposition. C’est, partant, à juste titre que l’intimée a rejeté la demande d’allocations pour perte de gain pour les jours isolés de service accomplis durant les mois d’août et septembre 2019. On précisera, au demeurant que, contrairement à ce que laisse entendre le recourant, le fait de payer des cotisations APG ne garantit pas le droit au versement des APG. Le paiement des cotisations APG et le versement des allocations sont en effet soumis à des règles différentes. Alors que l’obligation de payer des cotisations pour les assurés qui exercent une activité lucrative résulte de l’art. 27 al. 1 LAPG (en lien avec l’art. 3 al. 1 LAVS), les conditions du droit à l’allocation en cas de service sont quant à eux strictement définies par l’art. 1a LAPG. Il sera rappelé, au passage, que le versement d’une rente vieillesse ne supprime pas l’obligation, pour les assurés actifs après l’âge de la retraite, de verser des cotisations (cf. art. 6quater al. 2 RAVS s’agissant de cotisations des personnes ayant une activité indépendante). 8. Eu égard à ce qui précède, le recours, mal fondé, doit être rejeté. Pour le surplus la procédure est gratuite (art. 61 let. a LPGA, dans sa version en vigueur jusqu’au 31 décembre 2020). * * * * * *</w:t>
      </w:r>
    </w:p>
    <w:p>
      <w:r>
        <w:t>A/122/2021 - 7/7 -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